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eastAsia="宋体" w:cs="宋体"/>
          <w:color w:val="auto"/>
          <w:spacing w:val="26"/>
          <w:sz w:val="44"/>
          <w:szCs w:val="44"/>
          <w:lang w:val="en-US"/>
        </w:rPr>
      </w:pPr>
      <w:r>
        <w:rPr>
          <w:color w:val="auto"/>
        </w:rPr>
        <w:drawing>
          <wp:anchor distT="0" distB="0" distL="114300" distR="114300" simplePos="0" relativeHeight="251661312" behindDoc="0" locked="0" layoutInCell="1" allowOverlap="1">
            <wp:simplePos x="0" y="0"/>
            <wp:positionH relativeFrom="page">
              <wp:posOffset>2776855</wp:posOffset>
            </wp:positionH>
            <wp:positionV relativeFrom="paragraph">
              <wp:posOffset>451485</wp:posOffset>
            </wp:positionV>
            <wp:extent cx="1842135" cy="1701800"/>
            <wp:effectExtent l="0" t="0" r="5715"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15063" t="19231" r="16025" b="17307"/>
                    <a:stretch>
                      <a:fillRect/>
                    </a:stretch>
                  </pic:blipFill>
                  <pic:spPr>
                    <a:xfrm>
                      <a:off x="0" y="0"/>
                      <a:ext cx="1842135" cy="1701800"/>
                    </a:xfrm>
                    <a:prstGeom prst="rect">
                      <a:avLst/>
                    </a:prstGeom>
                    <a:noFill/>
                  </pic:spPr>
                </pic:pic>
              </a:graphicData>
            </a:graphic>
          </wp:anchor>
        </w:drawing>
      </w:r>
    </w:p>
    <w:p>
      <w:pPr>
        <w:snapToGrid w:val="0"/>
        <w:spacing w:line="360" w:lineRule="auto"/>
        <w:jc w:val="center"/>
        <w:rPr>
          <w:rFonts w:eastAsia="宋体" w:cs="宋体"/>
          <w:color w:val="auto"/>
          <w:spacing w:val="26"/>
          <w:sz w:val="44"/>
          <w:szCs w:val="44"/>
        </w:rPr>
      </w:pPr>
    </w:p>
    <w:p>
      <w:pPr>
        <w:snapToGrid w:val="0"/>
        <w:spacing w:line="360" w:lineRule="auto"/>
        <w:jc w:val="center"/>
        <w:rPr>
          <w:rFonts w:eastAsia="宋体" w:cs="宋体"/>
          <w:color w:val="auto"/>
          <w:spacing w:val="26"/>
          <w:sz w:val="44"/>
          <w:szCs w:val="44"/>
        </w:rPr>
      </w:pPr>
    </w:p>
    <w:p>
      <w:pPr>
        <w:snapToGrid w:val="0"/>
        <w:spacing w:line="360" w:lineRule="auto"/>
        <w:ind w:firstLine="984"/>
        <w:jc w:val="center"/>
        <w:rPr>
          <w:rFonts w:eastAsia="宋体" w:cs="宋体"/>
          <w:color w:val="auto"/>
          <w:spacing w:val="26"/>
          <w:sz w:val="44"/>
          <w:szCs w:val="44"/>
        </w:rPr>
      </w:pPr>
    </w:p>
    <w:p>
      <w:pPr>
        <w:snapToGrid w:val="0"/>
        <w:spacing w:line="360" w:lineRule="auto"/>
        <w:ind w:firstLine="196" w:firstLineChars="40"/>
        <w:jc w:val="center"/>
        <w:rPr>
          <w:rFonts w:eastAsia="宋体" w:cs="宋体"/>
          <w:color w:val="auto"/>
          <w:spacing w:val="26"/>
          <w:sz w:val="44"/>
          <w:szCs w:val="44"/>
        </w:rPr>
      </w:pPr>
    </w:p>
    <w:p>
      <w:pPr>
        <w:pStyle w:val="2"/>
        <w:rPr>
          <w:color w:val="auto"/>
        </w:rPr>
      </w:pPr>
    </w:p>
    <w:p>
      <w:pPr>
        <w:pStyle w:val="2"/>
        <w:rPr>
          <w:color w:val="auto"/>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color w:val="auto"/>
          <w:spacing w:val="20"/>
          <w:kern w:val="10"/>
          <w:sz w:val="44"/>
          <w:szCs w:val="44"/>
        </w:rPr>
      </w:pPr>
      <w:r>
        <w:rPr>
          <w:rFonts w:hint="eastAsia" w:ascii="方正小标宋简体" w:hAnsi="方正小标宋简体" w:eastAsia="方正小标宋简体" w:cs="方正小标宋简体"/>
          <w:b w:val="0"/>
          <w:bCs/>
          <w:color w:val="auto"/>
          <w:spacing w:val="20"/>
          <w:kern w:val="10"/>
          <w:sz w:val="72"/>
          <w:szCs w:val="72"/>
          <w:lang w:eastAsia="zh-CN"/>
        </w:rPr>
        <w:t>竞争性谈判</w:t>
      </w:r>
      <w:r>
        <w:rPr>
          <w:rFonts w:hint="eastAsia" w:ascii="方正小标宋简体" w:hAnsi="方正小标宋简体" w:eastAsia="方正小标宋简体" w:cs="方正小标宋简体"/>
          <w:b w:val="0"/>
          <w:bCs/>
          <w:color w:val="auto"/>
          <w:spacing w:val="20"/>
          <w:kern w:val="10"/>
          <w:sz w:val="72"/>
          <w:szCs w:val="72"/>
        </w:rPr>
        <w:t>文件</w:t>
      </w:r>
    </w:p>
    <w:p>
      <w:pPr>
        <w:spacing w:line="360" w:lineRule="auto"/>
        <w:ind w:firstLine="1716" w:firstLineChars="600"/>
        <w:rPr>
          <w:rFonts w:hint="eastAsia" w:ascii="黑体" w:hAnsi="黑体" w:eastAsia="黑体" w:cs="黑体"/>
          <w:b w:val="0"/>
          <w:bCs/>
          <w:color w:val="auto"/>
          <w:spacing w:val="-17"/>
          <w:sz w:val="32"/>
          <w:szCs w:val="32"/>
          <w:lang w:eastAsia="zh-CN"/>
        </w:rPr>
      </w:pPr>
    </w:p>
    <w:p>
      <w:pPr>
        <w:spacing w:line="360" w:lineRule="auto"/>
        <w:jc w:val="center"/>
        <w:rPr>
          <w:rFonts w:hint="eastAsia" w:ascii="黑体" w:hAnsi="黑体" w:eastAsia="黑体" w:cs="黑体"/>
          <w:b w:val="0"/>
          <w:bCs/>
          <w:color w:val="auto"/>
          <w:spacing w:val="-17"/>
          <w:sz w:val="36"/>
          <w:szCs w:val="36"/>
          <w:lang w:eastAsia="zh-CN"/>
        </w:rPr>
      </w:pPr>
      <w:r>
        <w:rPr>
          <w:rFonts w:hint="eastAsia" w:ascii="黑体" w:hAnsi="黑体" w:eastAsia="黑体" w:cs="黑体"/>
          <w:b w:val="0"/>
          <w:bCs/>
          <w:color w:val="auto"/>
          <w:spacing w:val="-17"/>
          <w:sz w:val="36"/>
          <w:szCs w:val="36"/>
          <w:lang w:eastAsia="zh-CN"/>
        </w:rPr>
        <w:t>项目名称：洗衣房洗涤用品采购项目（第二次）</w:t>
      </w:r>
    </w:p>
    <w:p>
      <w:pPr>
        <w:spacing w:line="360" w:lineRule="auto"/>
        <w:jc w:val="center"/>
        <w:rPr>
          <w:rFonts w:hint="eastAsia" w:ascii="黑体" w:hAnsi="黑体" w:eastAsia="黑体" w:cs="黑体"/>
          <w:b w:val="0"/>
          <w:bCs/>
          <w:color w:val="auto"/>
          <w:spacing w:val="-17"/>
          <w:sz w:val="36"/>
          <w:szCs w:val="36"/>
          <w:lang w:eastAsia="zh-CN"/>
        </w:rPr>
      </w:pPr>
      <w:r>
        <w:rPr>
          <w:rFonts w:hint="eastAsia" w:ascii="黑体" w:hAnsi="黑体" w:eastAsia="黑体" w:cs="黑体"/>
          <w:b w:val="0"/>
          <w:bCs/>
          <w:color w:val="auto"/>
          <w:spacing w:val="-17"/>
          <w:sz w:val="36"/>
          <w:szCs w:val="36"/>
          <w:lang w:eastAsia="zh-CN"/>
        </w:rPr>
        <w:t>项目编号：NFQYCG2023002</w:t>
      </w:r>
    </w:p>
    <w:p>
      <w:pPr>
        <w:spacing w:line="360" w:lineRule="auto"/>
        <w:jc w:val="center"/>
        <w:rPr>
          <w:rFonts w:hint="default" w:ascii="黑体" w:hAnsi="黑体" w:eastAsia="黑体" w:cs="黑体"/>
          <w:b w:val="0"/>
          <w:bCs/>
          <w:color w:val="auto"/>
          <w:spacing w:val="-17"/>
          <w:sz w:val="36"/>
          <w:szCs w:val="36"/>
          <w:lang w:val="en-US" w:eastAsia="zh-CN"/>
        </w:rPr>
      </w:pPr>
      <w:r>
        <w:rPr>
          <w:rFonts w:hint="eastAsia" w:ascii="黑体" w:hAnsi="黑体" w:eastAsia="黑体" w:cs="黑体"/>
          <w:b w:val="0"/>
          <w:bCs/>
          <w:color w:val="auto"/>
          <w:spacing w:val="-17"/>
          <w:sz w:val="36"/>
          <w:szCs w:val="36"/>
          <w:lang w:val="en-US" w:eastAsia="zh-CN"/>
        </w:rPr>
        <w:t>委托编号：</w:t>
      </w:r>
      <w:r>
        <w:rPr>
          <w:rFonts w:hint="eastAsia" w:ascii="黑体" w:hAnsi="黑体" w:eastAsia="黑体" w:cs="黑体"/>
          <w:b w:val="0"/>
          <w:bCs/>
          <w:color w:val="auto"/>
          <w:spacing w:val="-17"/>
          <w:sz w:val="36"/>
          <w:szCs w:val="36"/>
          <w:lang w:eastAsia="zh-CN"/>
        </w:rPr>
        <w:t>GDYD230006</w:t>
      </w:r>
    </w:p>
    <w:p>
      <w:pPr>
        <w:pStyle w:val="84"/>
        <w:rPr>
          <w:rFonts w:hint="eastAsia"/>
          <w:color w:val="auto"/>
        </w:rPr>
      </w:pPr>
    </w:p>
    <w:p>
      <w:pPr>
        <w:pStyle w:val="84"/>
        <w:rPr>
          <w:rFonts w:hint="eastAsia"/>
          <w:color w:val="auto"/>
        </w:rPr>
      </w:pPr>
    </w:p>
    <w:p>
      <w:pPr>
        <w:pStyle w:val="16"/>
        <w:rPr>
          <w:rFonts w:hint="eastAsia"/>
          <w:color w:val="auto"/>
        </w:rPr>
      </w:pPr>
    </w:p>
    <w:p>
      <w:pPr>
        <w:pStyle w:val="16"/>
        <w:rPr>
          <w:rFonts w:hint="eastAsia"/>
          <w:color w:val="auto"/>
        </w:rPr>
      </w:pPr>
    </w:p>
    <w:p>
      <w:pPr>
        <w:spacing w:line="360" w:lineRule="auto"/>
        <w:ind w:firstLine="1716" w:firstLineChars="600"/>
        <w:rPr>
          <w:rFonts w:hint="eastAsia" w:ascii="黑体" w:hAnsi="黑体" w:eastAsia="黑体" w:cs="黑体"/>
          <w:b w:val="0"/>
          <w:bCs/>
          <w:color w:val="auto"/>
          <w:spacing w:val="-17"/>
          <w:sz w:val="32"/>
          <w:szCs w:val="32"/>
          <w:lang w:eastAsia="zh-CN"/>
        </w:rPr>
      </w:pPr>
      <w:r>
        <w:rPr>
          <w:rFonts w:hint="eastAsia" w:ascii="黑体" w:hAnsi="黑体" w:eastAsia="黑体" w:cs="黑体"/>
          <w:b w:val="0"/>
          <w:bCs/>
          <w:color w:val="auto"/>
          <w:spacing w:val="-17"/>
          <w:sz w:val="32"/>
          <w:szCs w:val="32"/>
          <w:lang w:eastAsia="zh-CN"/>
        </w:rPr>
        <w:t>采</w:t>
      </w:r>
      <w:r>
        <w:rPr>
          <w:rFonts w:hint="eastAsia" w:ascii="黑体" w:hAnsi="黑体" w:eastAsia="黑体" w:cs="黑体"/>
          <w:b w:val="0"/>
          <w:bCs/>
          <w:color w:val="auto"/>
          <w:spacing w:val="-17"/>
          <w:sz w:val="32"/>
          <w:szCs w:val="32"/>
          <w:lang w:val="en-US" w:eastAsia="zh-CN"/>
        </w:rPr>
        <w:t xml:space="preserve"> </w:t>
      </w:r>
      <w:r>
        <w:rPr>
          <w:rFonts w:hint="eastAsia" w:ascii="黑体" w:hAnsi="黑体" w:eastAsia="黑体" w:cs="黑体"/>
          <w:b w:val="0"/>
          <w:bCs/>
          <w:color w:val="auto"/>
          <w:spacing w:val="-17"/>
          <w:sz w:val="32"/>
          <w:szCs w:val="32"/>
          <w:lang w:eastAsia="zh-CN"/>
        </w:rPr>
        <w:t>购</w:t>
      </w:r>
      <w:r>
        <w:rPr>
          <w:rFonts w:hint="eastAsia" w:ascii="黑体" w:hAnsi="黑体" w:eastAsia="黑体" w:cs="黑体"/>
          <w:b w:val="0"/>
          <w:bCs/>
          <w:color w:val="auto"/>
          <w:spacing w:val="-17"/>
          <w:sz w:val="32"/>
          <w:szCs w:val="32"/>
          <w:lang w:val="en-US" w:eastAsia="zh-CN"/>
        </w:rPr>
        <w:t xml:space="preserve"> </w:t>
      </w:r>
      <w:r>
        <w:rPr>
          <w:rFonts w:hint="eastAsia" w:ascii="黑体" w:hAnsi="黑体" w:eastAsia="黑体" w:cs="黑体"/>
          <w:b w:val="0"/>
          <w:bCs/>
          <w:color w:val="auto"/>
          <w:spacing w:val="-17"/>
          <w:sz w:val="32"/>
          <w:szCs w:val="32"/>
          <w:lang w:eastAsia="zh-CN"/>
        </w:rPr>
        <w:t>人：南方医科大学第七附属医院</w:t>
      </w:r>
    </w:p>
    <w:p>
      <w:pPr>
        <w:spacing w:line="360" w:lineRule="auto"/>
        <w:ind w:firstLine="1080" w:firstLineChars="300"/>
        <w:rPr>
          <w:rFonts w:hint="eastAsia" w:ascii="黑体" w:hAnsi="黑体" w:eastAsia="黑体" w:cs="黑体"/>
          <w:b w:val="0"/>
          <w:bCs/>
          <w:color w:val="auto"/>
          <w:spacing w:val="0"/>
          <w:kern w:val="10"/>
          <w:sz w:val="32"/>
          <w:szCs w:val="32"/>
          <w:lang w:val="en-US" w:eastAsia="zh-CN"/>
        </w:rPr>
      </w:pPr>
      <w:r>
        <w:rPr>
          <w:rFonts w:hint="eastAsia" w:ascii="黑体" w:hAnsi="黑体" w:eastAsia="黑体" w:cs="黑体"/>
          <w:b w:val="0"/>
          <w:bCs/>
          <w:color w:val="auto"/>
          <w:spacing w:val="20"/>
          <w:kern w:val="10"/>
          <w:sz w:val="32"/>
          <w:szCs w:val="32"/>
          <w:lang w:eastAsia="zh-CN"/>
        </w:rPr>
        <w:t>采购代理机构：</w:t>
      </w:r>
      <w:r>
        <w:rPr>
          <w:rFonts w:hint="eastAsia" w:ascii="黑体" w:hAnsi="黑体" w:eastAsia="黑体" w:cs="黑体"/>
          <w:b w:val="0"/>
          <w:bCs/>
          <w:color w:val="auto"/>
          <w:spacing w:val="0"/>
          <w:kern w:val="10"/>
          <w:sz w:val="32"/>
          <w:szCs w:val="32"/>
        </w:rPr>
        <w:t>广东远东招标代理有限公司</w:t>
      </w:r>
      <w:r>
        <w:rPr>
          <w:rFonts w:hint="eastAsia" w:ascii="黑体" w:hAnsi="黑体" w:eastAsia="黑体" w:cs="黑体"/>
          <w:b w:val="0"/>
          <w:bCs/>
          <w:color w:val="auto"/>
          <w:spacing w:val="0"/>
          <w:kern w:val="10"/>
          <w:sz w:val="32"/>
          <w:szCs w:val="32"/>
          <w:lang w:val="en-US" w:eastAsia="zh-CN"/>
        </w:rPr>
        <w:t xml:space="preserve">  </w:t>
      </w:r>
    </w:p>
    <w:p>
      <w:pPr>
        <w:tabs>
          <w:tab w:val="center" w:pos="4365"/>
          <w:tab w:val="left" w:pos="7635"/>
        </w:tabs>
        <w:spacing w:line="360" w:lineRule="auto"/>
        <w:jc w:val="center"/>
        <w:rPr>
          <w:rFonts w:hint="eastAsia" w:ascii="黑体" w:hAnsi="黑体" w:eastAsia="黑体" w:cs="黑体"/>
          <w:b w:val="0"/>
          <w:bCs/>
          <w:color w:val="auto"/>
          <w:spacing w:val="0"/>
          <w:kern w:val="10"/>
          <w:sz w:val="32"/>
          <w:szCs w:val="32"/>
        </w:rPr>
      </w:pPr>
    </w:p>
    <w:p>
      <w:pPr>
        <w:tabs>
          <w:tab w:val="center" w:pos="4365"/>
          <w:tab w:val="left" w:pos="7635"/>
        </w:tabs>
        <w:spacing w:line="360" w:lineRule="auto"/>
        <w:jc w:val="center"/>
        <w:rPr>
          <w:rFonts w:hint="eastAsia" w:ascii="黑体" w:hAnsi="黑体" w:eastAsia="黑体" w:cs="黑体"/>
          <w:b w:val="0"/>
          <w:bCs/>
          <w:color w:val="auto"/>
          <w:spacing w:val="20"/>
          <w:kern w:val="10"/>
          <w:sz w:val="32"/>
          <w:szCs w:val="32"/>
        </w:rPr>
      </w:pPr>
      <w:r>
        <w:rPr>
          <w:rFonts w:hint="eastAsia" w:ascii="黑体" w:hAnsi="黑体" w:eastAsia="黑体" w:cs="黑体"/>
          <w:b w:val="0"/>
          <w:bCs/>
          <w:color w:val="auto"/>
          <w:spacing w:val="0"/>
          <w:kern w:val="10"/>
          <w:sz w:val="32"/>
          <w:szCs w:val="32"/>
        </w:rPr>
        <w:t>202</w:t>
      </w:r>
      <w:r>
        <w:rPr>
          <w:rFonts w:hint="eastAsia" w:ascii="黑体" w:hAnsi="黑体" w:eastAsia="黑体" w:cs="黑体"/>
          <w:b w:val="0"/>
          <w:bCs/>
          <w:color w:val="auto"/>
          <w:spacing w:val="0"/>
          <w:kern w:val="10"/>
          <w:sz w:val="32"/>
          <w:szCs w:val="32"/>
          <w:lang w:val="en-US" w:eastAsia="zh-CN"/>
        </w:rPr>
        <w:t>3</w:t>
      </w:r>
      <w:r>
        <w:rPr>
          <w:rFonts w:hint="eastAsia" w:ascii="黑体" w:hAnsi="黑体" w:eastAsia="黑体" w:cs="黑体"/>
          <w:b w:val="0"/>
          <w:bCs/>
          <w:color w:val="auto"/>
          <w:spacing w:val="0"/>
          <w:kern w:val="10"/>
          <w:sz w:val="32"/>
          <w:szCs w:val="32"/>
        </w:rPr>
        <w:t>年</w:t>
      </w:r>
      <w:r>
        <w:rPr>
          <w:rFonts w:hint="eastAsia" w:ascii="黑体" w:hAnsi="黑体" w:eastAsia="黑体" w:cs="黑体"/>
          <w:b w:val="0"/>
          <w:bCs/>
          <w:color w:val="auto"/>
          <w:spacing w:val="0"/>
          <w:kern w:val="10"/>
          <w:sz w:val="32"/>
          <w:szCs w:val="32"/>
          <w:lang w:val="en-US" w:eastAsia="zh-CN"/>
        </w:rPr>
        <w:t>4</w:t>
      </w:r>
      <w:r>
        <w:rPr>
          <w:rFonts w:hint="eastAsia" w:ascii="黑体" w:hAnsi="黑体" w:eastAsia="黑体" w:cs="黑体"/>
          <w:b w:val="0"/>
          <w:bCs/>
          <w:color w:val="auto"/>
          <w:spacing w:val="0"/>
          <w:kern w:val="10"/>
          <w:sz w:val="32"/>
          <w:szCs w:val="32"/>
        </w:rPr>
        <w:t>月</w:t>
      </w:r>
    </w:p>
    <w:p>
      <w:pPr>
        <w:widowControl/>
        <w:ind w:right="-26"/>
        <w:textAlignment w:val="bottom"/>
        <w:rPr>
          <w:rFonts w:hAnsi="宋体"/>
          <w:b/>
          <w:color w:val="auto"/>
          <w:sz w:val="44"/>
        </w:rPr>
      </w:pPr>
    </w:p>
    <w:p>
      <w:pPr>
        <w:pStyle w:val="15"/>
        <w:rPr>
          <w:color w:val="auto"/>
        </w:rPr>
      </w:pPr>
    </w:p>
    <w:p>
      <w:pPr>
        <w:pageBreakBefore/>
        <w:tabs>
          <w:tab w:val="left" w:pos="4125"/>
        </w:tabs>
        <w:spacing w:line="360" w:lineRule="auto"/>
        <w:ind w:right="-34"/>
        <w:rPr>
          <w:rFonts w:hAnsi="宋体"/>
          <w:b/>
          <w:bCs/>
          <w:color w:val="auto"/>
          <w:kern w:val="2"/>
          <w:sz w:val="32"/>
          <w:szCs w:val="32"/>
          <w:lang w:val="zh-CN"/>
        </w:rPr>
        <w:sectPr>
          <w:headerReference r:id="rId3" w:type="default"/>
          <w:type w:val="continuous"/>
          <w:pgSz w:w="11907" w:h="16840"/>
          <w:pgMar w:top="1440" w:right="1417" w:bottom="1440" w:left="1474" w:header="794" w:footer="437" w:gutter="0"/>
          <w:cols w:space="720" w:num="1"/>
          <w:docGrid w:linePitch="285" w:charSpace="0"/>
        </w:sectPr>
      </w:pPr>
    </w:p>
    <w:p>
      <w:pPr>
        <w:pageBreakBefore/>
        <w:tabs>
          <w:tab w:val="left" w:pos="4125"/>
        </w:tabs>
        <w:spacing w:line="360" w:lineRule="auto"/>
        <w:ind w:right="-34"/>
        <w:rPr>
          <w:rFonts w:hAnsi="宋体"/>
          <w:b/>
          <w:bCs/>
          <w:color w:val="auto"/>
          <w:kern w:val="2"/>
          <w:sz w:val="32"/>
          <w:szCs w:val="32"/>
          <w:lang w:val="zh-CN"/>
        </w:rPr>
      </w:pPr>
      <w:r>
        <w:rPr>
          <w:rFonts w:hAnsi="宋体"/>
          <w:b/>
          <w:bCs/>
          <w:color w:val="auto"/>
          <w:kern w:val="2"/>
          <w:sz w:val="32"/>
          <w:szCs w:val="32"/>
          <w:lang w:val="zh-CN"/>
        </w:rPr>
        <w:tab/>
      </w:r>
    </w:p>
    <w:p>
      <w:pPr>
        <w:spacing w:line="360" w:lineRule="auto"/>
        <w:ind w:right="16"/>
        <w:jc w:val="center"/>
        <w:rPr>
          <w:rFonts w:hAnsi="宋体"/>
          <w:b/>
          <w:bCs/>
          <w:color w:val="auto"/>
          <w:kern w:val="2"/>
          <w:sz w:val="36"/>
          <w:szCs w:val="36"/>
          <w:lang w:val="zh-CN"/>
        </w:rPr>
      </w:pPr>
      <w:r>
        <w:rPr>
          <w:rFonts w:hint="eastAsia" w:hAnsi="宋体"/>
          <w:b/>
          <w:bCs/>
          <w:color w:val="auto"/>
          <w:kern w:val="2"/>
          <w:sz w:val="36"/>
          <w:szCs w:val="36"/>
          <w:lang w:val="zh-CN"/>
        </w:rPr>
        <w:t>目 录</w:t>
      </w:r>
    </w:p>
    <w:p>
      <w:pPr>
        <w:spacing w:line="360" w:lineRule="auto"/>
        <w:ind w:right="16"/>
        <w:jc w:val="center"/>
        <w:rPr>
          <w:rFonts w:hAnsi="宋体"/>
          <w:color w:val="auto"/>
          <w:kern w:val="2"/>
          <w:sz w:val="21"/>
          <w:szCs w:val="21"/>
          <w:lang w:val="zh-CN"/>
        </w:rPr>
      </w:pPr>
    </w:p>
    <w:p>
      <w:pPr>
        <w:pStyle w:val="15"/>
        <w:keepNext w:val="0"/>
        <w:keepLines w:val="0"/>
        <w:pageBreakBefore w:val="0"/>
        <w:widowControl w:val="0"/>
        <w:tabs>
          <w:tab w:val="right" w:pos="2800"/>
          <w:tab w:val="right" w:leader="dot" w:pos="9016"/>
        </w:tabs>
        <w:kinsoku/>
        <w:wordWrap/>
        <w:overflowPunct/>
        <w:topLinePunct w:val="0"/>
        <w:autoSpaceDE w:val="0"/>
        <w:autoSpaceDN w:val="0"/>
        <w:bidi w:val="0"/>
        <w:adjustRightInd w:val="0"/>
        <w:snapToGrid/>
        <w:spacing w:line="600" w:lineRule="exact"/>
        <w:ind w:firstLine="562" w:firstLineChars="200"/>
        <w:textAlignment w:val="auto"/>
        <w:rPr>
          <w:color w:val="auto"/>
          <w:sz w:val="32"/>
          <w:szCs w:val="32"/>
        </w:rPr>
      </w:pPr>
      <w:r>
        <w:rPr>
          <w:rFonts w:hint="eastAsia" w:hAnsi="宋体"/>
          <w:b/>
          <w:bCs/>
          <w:color w:val="auto"/>
          <w:kern w:val="2"/>
          <w:sz w:val="28"/>
          <w:szCs w:val="28"/>
          <w:lang w:val="zh-CN"/>
        </w:rPr>
        <w:fldChar w:fldCharType="begin"/>
      </w:r>
      <w:r>
        <w:rPr>
          <w:rFonts w:hint="eastAsia" w:hAnsi="宋体"/>
          <w:b/>
          <w:bCs/>
          <w:color w:val="auto"/>
          <w:kern w:val="2"/>
          <w:sz w:val="28"/>
          <w:szCs w:val="28"/>
          <w:lang w:val="zh-CN"/>
        </w:rPr>
        <w:instrText xml:space="preserve">TOC \o "1-1" \h \u </w:instrText>
      </w:r>
      <w:r>
        <w:rPr>
          <w:rFonts w:hint="eastAsia" w:hAnsi="宋体"/>
          <w:b/>
          <w:bCs/>
          <w:color w:val="auto"/>
          <w:kern w:val="2"/>
          <w:sz w:val="28"/>
          <w:szCs w:val="28"/>
          <w:lang w:val="zh-CN"/>
        </w:rPr>
        <w:fldChar w:fldCharType="separate"/>
      </w:r>
      <w:r>
        <w:rPr>
          <w:rFonts w:hint="eastAsia" w:hAnsi="宋体"/>
          <w:bCs/>
          <w:color w:val="auto"/>
          <w:kern w:val="2"/>
          <w:sz w:val="32"/>
          <w:szCs w:val="32"/>
          <w:lang w:val="zh-CN"/>
        </w:rPr>
        <w:fldChar w:fldCharType="begin"/>
      </w:r>
      <w:r>
        <w:rPr>
          <w:rFonts w:hint="eastAsia" w:hAnsi="宋体"/>
          <w:bCs/>
          <w:color w:val="auto"/>
          <w:kern w:val="2"/>
          <w:sz w:val="32"/>
          <w:szCs w:val="32"/>
          <w:lang w:val="zh-CN"/>
        </w:rPr>
        <w:instrText xml:space="preserve"> HYPERLINK \l _Toc20215 </w:instrText>
      </w:r>
      <w:r>
        <w:rPr>
          <w:rFonts w:hint="eastAsia" w:hAnsi="宋体"/>
          <w:bCs/>
          <w:color w:val="auto"/>
          <w:kern w:val="2"/>
          <w:sz w:val="32"/>
          <w:szCs w:val="32"/>
          <w:lang w:val="zh-CN"/>
        </w:rPr>
        <w:fldChar w:fldCharType="separate"/>
      </w:r>
      <w:r>
        <w:rPr>
          <w:rFonts w:hint="eastAsia" w:hAnsi="宋体"/>
          <w:bCs/>
          <w:color w:val="auto"/>
          <w:kern w:val="44"/>
          <w:sz w:val="32"/>
          <w:szCs w:val="32"/>
          <w:lang w:val="zh-CN"/>
        </w:rPr>
        <w:t xml:space="preserve"> 第一篇</w:t>
      </w:r>
      <w:r>
        <w:rPr>
          <w:rFonts w:hint="eastAsia" w:hAnsi="宋体"/>
          <w:bCs/>
          <w:color w:val="auto"/>
          <w:kern w:val="44"/>
          <w:sz w:val="32"/>
          <w:szCs w:val="32"/>
          <w:lang w:val="en-US" w:eastAsia="zh-CN"/>
        </w:rPr>
        <w:t xml:space="preserve">  </w:t>
      </w:r>
      <w:r>
        <w:rPr>
          <w:rFonts w:hint="eastAsia" w:hAnsi="宋体"/>
          <w:bCs/>
          <w:color w:val="auto"/>
          <w:kern w:val="44"/>
          <w:sz w:val="32"/>
          <w:szCs w:val="32"/>
          <w:lang w:val="zh-CN"/>
        </w:rPr>
        <w:t>谈判邀请书</w:t>
      </w:r>
      <w:r>
        <w:rPr>
          <w:color w:val="auto"/>
          <w:sz w:val="32"/>
          <w:szCs w:val="32"/>
        </w:rPr>
        <w:tab/>
      </w:r>
      <w:r>
        <w:rPr>
          <w:color w:val="auto"/>
          <w:sz w:val="32"/>
          <w:szCs w:val="32"/>
        </w:rPr>
        <w:fldChar w:fldCharType="begin"/>
      </w:r>
      <w:r>
        <w:rPr>
          <w:color w:val="auto"/>
          <w:sz w:val="32"/>
          <w:szCs w:val="32"/>
        </w:rPr>
        <w:instrText xml:space="preserve"> PAGEREF _Toc20215 \h </w:instrText>
      </w:r>
      <w:r>
        <w:rPr>
          <w:color w:val="auto"/>
          <w:sz w:val="32"/>
          <w:szCs w:val="32"/>
        </w:rPr>
        <w:fldChar w:fldCharType="separate"/>
      </w:r>
      <w:r>
        <w:rPr>
          <w:color w:val="auto"/>
          <w:sz w:val="32"/>
          <w:szCs w:val="32"/>
        </w:rPr>
        <w:t>1</w:t>
      </w:r>
      <w:r>
        <w:rPr>
          <w:color w:val="auto"/>
          <w:sz w:val="32"/>
          <w:szCs w:val="32"/>
        </w:rPr>
        <w:fldChar w:fldCharType="end"/>
      </w:r>
      <w:r>
        <w:rPr>
          <w:rFonts w:hint="eastAsia" w:hAnsi="宋体"/>
          <w:bCs/>
          <w:color w:val="auto"/>
          <w:kern w:val="2"/>
          <w:sz w:val="32"/>
          <w:szCs w:val="32"/>
          <w:lang w:val="zh-CN"/>
        </w:rPr>
        <w:fldChar w:fldCharType="end"/>
      </w:r>
    </w:p>
    <w:p>
      <w:pPr>
        <w:pStyle w:val="15"/>
        <w:keepNext w:val="0"/>
        <w:keepLines w:val="0"/>
        <w:pageBreakBefore w:val="0"/>
        <w:widowControl w:val="0"/>
        <w:tabs>
          <w:tab w:val="right" w:pos="2800"/>
          <w:tab w:val="right" w:leader="dot" w:pos="9016"/>
        </w:tabs>
        <w:kinsoku/>
        <w:wordWrap/>
        <w:overflowPunct/>
        <w:topLinePunct w:val="0"/>
        <w:autoSpaceDE w:val="0"/>
        <w:autoSpaceDN w:val="0"/>
        <w:bidi w:val="0"/>
        <w:adjustRightInd w:val="0"/>
        <w:snapToGrid/>
        <w:spacing w:line="600" w:lineRule="exact"/>
        <w:ind w:firstLine="640" w:firstLineChars="200"/>
        <w:textAlignment w:val="auto"/>
        <w:rPr>
          <w:color w:val="auto"/>
          <w:sz w:val="32"/>
          <w:szCs w:val="32"/>
        </w:rPr>
      </w:pPr>
      <w:r>
        <w:rPr>
          <w:rFonts w:hint="eastAsia" w:hAnsi="宋体"/>
          <w:bCs/>
          <w:color w:val="auto"/>
          <w:kern w:val="2"/>
          <w:sz w:val="32"/>
          <w:szCs w:val="32"/>
          <w:lang w:val="zh-CN"/>
        </w:rPr>
        <w:fldChar w:fldCharType="begin"/>
      </w:r>
      <w:r>
        <w:rPr>
          <w:rFonts w:hint="eastAsia" w:hAnsi="宋体"/>
          <w:bCs/>
          <w:color w:val="auto"/>
          <w:kern w:val="2"/>
          <w:sz w:val="32"/>
          <w:szCs w:val="32"/>
          <w:lang w:val="zh-CN"/>
        </w:rPr>
        <w:instrText xml:space="preserve"> HYPERLINK \l _Toc28456 </w:instrText>
      </w:r>
      <w:r>
        <w:rPr>
          <w:rFonts w:hint="eastAsia" w:hAnsi="宋体"/>
          <w:bCs/>
          <w:color w:val="auto"/>
          <w:kern w:val="2"/>
          <w:sz w:val="32"/>
          <w:szCs w:val="32"/>
          <w:lang w:val="zh-CN"/>
        </w:rPr>
        <w:fldChar w:fldCharType="separate"/>
      </w:r>
      <w:r>
        <w:rPr>
          <w:rFonts w:hint="eastAsia" w:ascii="宋体" w:hAnsi="宋体" w:eastAsia="宋体" w:cs="Times New Roman"/>
          <w:bCs/>
          <w:color w:val="auto"/>
          <w:kern w:val="44"/>
          <w:sz w:val="32"/>
          <w:szCs w:val="32"/>
          <w:lang w:val="zh-CN"/>
        </w:rPr>
        <w:t xml:space="preserve"> 第二篇</w:t>
      </w:r>
      <w:r>
        <w:rPr>
          <w:rFonts w:hint="eastAsia" w:ascii="宋体" w:hAnsi="宋体" w:eastAsia="宋体" w:cs="Times New Roman"/>
          <w:bCs/>
          <w:color w:val="auto"/>
          <w:kern w:val="44"/>
          <w:sz w:val="32"/>
          <w:szCs w:val="32"/>
          <w:lang w:val="zh-CN"/>
        </w:rPr>
        <w:tab/>
      </w:r>
      <w:r>
        <w:rPr>
          <w:rFonts w:hint="eastAsia" w:hAnsi="宋体" w:cs="Times New Roman"/>
          <w:bCs/>
          <w:color w:val="auto"/>
          <w:kern w:val="44"/>
          <w:sz w:val="32"/>
          <w:szCs w:val="32"/>
          <w:lang w:val="en-US" w:eastAsia="zh-CN"/>
        </w:rPr>
        <w:t xml:space="preserve">  </w:t>
      </w:r>
      <w:r>
        <w:rPr>
          <w:rFonts w:hint="eastAsia" w:hAnsi="宋体" w:cs="Times New Roman"/>
          <w:bCs/>
          <w:color w:val="auto"/>
          <w:kern w:val="44"/>
          <w:sz w:val="32"/>
          <w:szCs w:val="32"/>
          <w:lang w:val="zh-CN"/>
        </w:rPr>
        <w:t>响应供应商</w:t>
      </w:r>
      <w:r>
        <w:rPr>
          <w:rFonts w:hint="eastAsia" w:ascii="宋体" w:hAnsi="宋体" w:eastAsia="宋体" w:cs="Times New Roman"/>
          <w:bCs/>
          <w:color w:val="auto"/>
          <w:kern w:val="44"/>
          <w:sz w:val="32"/>
          <w:szCs w:val="32"/>
          <w:lang w:val="zh-CN"/>
        </w:rPr>
        <w:t>须知</w:t>
      </w:r>
      <w:r>
        <w:rPr>
          <w:color w:val="auto"/>
          <w:sz w:val="32"/>
          <w:szCs w:val="32"/>
        </w:rPr>
        <w:tab/>
      </w:r>
      <w:r>
        <w:rPr>
          <w:color w:val="auto"/>
          <w:sz w:val="32"/>
          <w:szCs w:val="32"/>
        </w:rPr>
        <w:fldChar w:fldCharType="begin"/>
      </w:r>
      <w:r>
        <w:rPr>
          <w:color w:val="auto"/>
          <w:sz w:val="32"/>
          <w:szCs w:val="32"/>
        </w:rPr>
        <w:instrText xml:space="preserve"> PAGEREF _Toc28456 \h </w:instrText>
      </w:r>
      <w:r>
        <w:rPr>
          <w:color w:val="auto"/>
          <w:sz w:val="32"/>
          <w:szCs w:val="32"/>
        </w:rPr>
        <w:fldChar w:fldCharType="separate"/>
      </w:r>
      <w:r>
        <w:rPr>
          <w:color w:val="auto"/>
          <w:sz w:val="32"/>
          <w:szCs w:val="32"/>
        </w:rPr>
        <w:t>4</w:t>
      </w:r>
      <w:r>
        <w:rPr>
          <w:color w:val="auto"/>
          <w:sz w:val="32"/>
          <w:szCs w:val="32"/>
        </w:rPr>
        <w:fldChar w:fldCharType="end"/>
      </w:r>
      <w:r>
        <w:rPr>
          <w:rFonts w:hint="eastAsia" w:hAnsi="宋体"/>
          <w:bCs/>
          <w:color w:val="auto"/>
          <w:kern w:val="2"/>
          <w:sz w:val="32"/>
          <w:szCs w:val="32"/>
          <w:lang w:val="zh-CN"/>
        </w:rPr>
        <w:fldChar w:fldCharType="end"/>
      </w:r>
    </w:p>
    <w:p>
      <w:pPr>
        <w:pStyle w:val="15"/>
        <w:keepNext w:val="0"/>
        <w:keepLines w:val="0"/>
        <w:pageBreakBefore w:val="0"/>
        <w:widowControl w:val="0"/>
        <w:tabs>
          <w:tab w:val="right" w:leader="dot" w:pos="9016"/>
        </w:tabs>
        <w:kinsoku/>
        <w:wordWrap/>
        <w:overflowPunct/>
        <w:topLinePunct w:val="0"/>
        <w:autoSpaceDE w:val="0"/>
        <w:autoSpaceDN w:val="0"/>
        <w:bidi w:val="0"/>
        <w:adjustRightInd w:val="0"/>
        <w:snapToGrid/>
        <w:spacing w:line="600" w:lineRule="exact"/>
        <w:ind w:firstLine="640" w:firstLineChars="200"/>
        <w:textAlignment w:val="auto"/>
        <w:rPr>
          <w:color w:val="auto"/>
          <w:sz w:val="32"/>
          <w:szCs w:val="32"/>
        </w:rPr>
      </w:pPr>
      <w:r>
        <w:rPr>
          <w:rFonts w:hint="eastAsia" w:hAnsi="宋体"/>
          <w:bCs/>
          <w:color w:val="auto"/>
          <w:kern w:val="2"/>
          <w:sz w:val="32"/>
          <w:szCs w:val="32"/>
          <w:lang w:val="zh-CN"/>
        </w:rPr>
        <w:fldChar w:fldCharType="begin"/>
      </w:r>
      <w:r>
        <w:rPr>
          <w:rFonts w:hint="eastAsia" w:hAnsi="宋体"/>
          <w:bCs/>
          <w:color w:val="auto"/>
          <w:kern w:val="2"/>
          <w:sz w:val="32"/>
          <w:szCs w:val="32"/>
          <w:lang w:val="zh-CN"/>
        </w:rPr>
        <w:instrText xml:space="preserve"> HYPERLINK \l _Toc3433 </w:instrText>
      </w:r>
      <w:r>
        <w:rPr>
          <w:rFonts w:hint="eastAsia" w:hAnsi="宋体"/>
          <w:bCs/>
          <w:color w:val="auto"/>
          <w:kern w:val="2"/>
          <w:sz w:val="32"/>
          <w:szCs w:val="32"/>
          <w:lang w:val="zh-CN"/>
        </w:rPr>
        <w:fldChar w:fldCharType="separate"/>
      </w:r>
      <w:r>
        <w:rPr>
          <w:rFonts w:hint="eastAsia" w:hAnsi="宋体"/>
          <w:bCs/>
          <w:color w:val="auto"/>
          <w:kern w:val="44"/>
          <w:sz w:val="32"/>
          <w:szCs w:val="32"/>
          <w:lang w:val="zh-CN"/>
        </w:rPr>
        <w:t xml:space="preserve"> </w:t>
      </w:r>
      <w:r>
        <w:rPr>
          <w:rFonts w:hint="eastAsia" w:ascii="宋体" w:hAnsi="宋体" w:eastAsia="宋体" w:cs="Times New Roman"/>
          <w:bCs/>
          <w:color w:val="auto"/>
          <w:kern w:val="44"/>
          <w:sz w:val="32"/>
          <w:szCs w:val="32"/>
          <w:lang w:val="zh-CN"/>
        </w:rPr>
        <w:t>第三篇  采购需求</w:t>
      </w:r>
      <w:r>
        <w:rPr>
          <w:color w:val="auto"/>
          <w:sz w:val="32"/>
          <w:szCs w:val="32"/>
        </w:rPr>
        <w:tab/>
      </w:r>
      <w:r>
        <w:rPr>
          <w:color w:val="auto"/>
          <w:sz w:val="32"/>
          <w:szCs w:val="32"/>
        </w:rPr>
        <w:fldChar w:fldCharType="begin"/>
      </w:r>
      <w:r>
        <w:rPr>
          <w:color w:val="auto"/>
          <w:sz w:val="32"/>
          <w:szCs w:val="32"/>
        </w:rPr>
        <w:instrText xml:space="preserve"> PAGEREF _Toc3433 \h </w:instrText>
      </w:r>
      <w:r>
        <w:rPr>
          <w:color w:val="auto"/>
          <w:sz w:val="32"/>
          <w:szCs w:val="32"/>
        </w:rPr>
        <w:fldChar w:fldCharType="separate"/>
      </w:r>
      <w:r>
        <w:rPr>
          <w:color w:val="auto"/>
          <w:sz w:val="32"/>
          <w:szCs w:val="32"/>
        </w:rPr>
        <w:t>25</w:t>
      </w:r>
      <w:r>
        <w:rPr>
          <w:color w:val="auto"/>
          <w:sz w:val="32"/>
          <w:szCs w:val="32"/>
        </w:rPr>
        <w:fldChar w:fldCharType="end"/>
      </w:r>
      <w:r>
        <w:rPr>
          <w:rFonts w:hint="eastAsia" w:hAnsi="宋体"/>
          <w:bCs/>
          <w:color w:val="auto"/>
          <w:kern w:val="2"/>
          <w:sz w:val="32"/>
          <w:szCs w:val="32"/>
          <w:lang w:val="zh-CN"/>
        </w:rPr>
        <w:fldChar w:fldCharType="end"/>
      </w:r>
    </w:p>
    <w:p>
      <w:pPr>
        <w:pStyle w:val="15"/>
        <w:keepNext w:val="0"/>
        <w:keepLines w:val="0"/>
        <w:pageBreakBefore w:val="0"/>
        <w:widowControl w:val="0"/>
        <w:tabs>
          <w:tab w:val="right" w:leader="dot" w:pos="9016"/>
        </w:tabs>
        <w:kinsoku/>
        <w:wordWrap/>
        <w:overflowPunct/>
        <w:topLinePunct w:val="0"/>
        <w:autoSpaceDE w:val="0"/>
        <w:autoSpaceDN w:val="0"/>
        <w:bidi w:val="0"/>
        <w:adjustRightInd w:val="0"/>
        <w:snapToGrid/>
        <w:spacing w:line="600" w:lineRule="exact"/>
        <w:ind w:firstLine="640" w:firstLineChars="200"/>
        <w:textAlignment w:val="auto"/>
        <w:rPr>
          <w:color w:val="auto"/>
          <w:sz w:val="32"/>
          <w:szCs w:val="32"/>
        </w:rPr>
      </w:pPr>
      <w:r>
        <w:rPr>
          <w:rFonts w:hint="eastAsia" w:hAnsi="宋体"/>
          <w:bCs/>
          <w:color w:val="auto"/>
          <w:kern w:val="2"/>
          <w:sz w:val="32"/>
          <w:szCs w:val="32"/>
          <w:lang w:val="zh-CN"/>
        </w:rPr>
        <w:fldChar w:fldCharType="begin"/>
      </w:r>
      <w:r>
        <w:rPr>
          <w:rFonts w:hint="eastAsia" w:hAnsi="宋体"/>
          <w:bCs/>
          <w:color w:val="auto"/>
          <w:kern w:val="2"/>
          <w:sz w:val="32"/>
          <w:szCs w:val="32"/>
          <w:lang w:val="zh-CN"/>
        </w:rPr>
        <w:instrText xml:space="preserve"> HYPERLINK \l _Toc24046 </w:instrText>
      </w:r>
      <w:r>
        <w:rPr>
          <w:rFonts w:hint="eastAsia" w:hAnsi="宋体"/>
          <w:bCs/>
          <w:color w:val="auto"/>
          <w:kern w:val="2"/>
          <w:sz w:val="32"/>
          <w:szCs w:val="32"/>
          <w:lang w:val="zh-CN"/>
        </w:rPr>
        <w:fldChar w:fldCharType="separate"/>
      </w:r>
      <w:r>
        <w:rPr>
          <w:rFonts w:hint="eastAsia" w:hAnsi="宋体"/>
          <w:bCs/>
          <w:color w:val="auto"/>
          <w:kern w:val="44"/>
          <w:sz w:val="32"/>
          <w:szCs w:val="32"/>
          <w:lang w:val="zh-CN"/>
        </w:rPr>
        <w:t xml:space="preserve"> </w:t>
      </w:r>
      <w:r>
        <w:rPr>
          <w:rFonts w:hint="eastAsia" w:ascii="宋体" w:hAnsi="宋体" w:eastAsia="宋体" w:cs="Times New Roman"/>
          <w:bCs/>
          <w:color w:val="auto"/>
          <w:kern w:val="44"/>
          <w:sz w:val="32"/>
          <w:szCs w:val="32"/>
          <w:lang w:val="zh-CN"/>
        </w:rPr>
        <w:t>第四篇  评审</w:t>
      </w:r>
      <w:r>
        <w:rPr>
          <w:rFonts w:hint="eastAsia" w:hAnsi="宋体" w:cs="Times New Roman"/>
          <w:bCs/>
          <w:color w:val="auto"/>
          <w:kern w:val="44"/>
          <w:sz w:val="32"/>
          <w:szCs w:val="32"/>
          <w:lang w:val="zh-CN"/>
        </w:rPr>
        <w:t>工作</w:t>
      </w:r>
      <w:r>
        <w:rPr>
          <w:rFonts w:hint="eastAsia" w:ascii="宋体" w:hAnsi="宋体" w:eastAsia="宋体" w:cs="Times New Roman"/>
          <w:bCs/>
          <w:color w:val="auto"/>
          <w:kern w:val="44"/>
          <w:sz w:val="32"/>
          <w:szCs w:val="32"/>
          <w:lang w:val="zh-CN"/>
        </w:rPr>
        <w:t>大纲</w:t>
      </w:r>
      <w:r>
        <w:rPr>
          <w:color w:val="auto"/>
          <w:sz w:val="32"/>
          <w:szCs w:val="32"/>
        </w:rPr>
        <w:tab/>
      </w:r>
      <w:r>
        <w:rPr>
          <w:color w:val="auto"/>
          <w:sz w:val="32"/>
          <w:szCs w:val="32"/>
        </w:rPr>
        <w:fldChar w:fldCharType="begin"/>
      </w:r>
      <w:r>
        <w:rPr>
          <w:color w:val="auto"/>
          <w:sz w:val="32"/>
          <w:szCs w:val="32"/>
        </w:rPr>
        <w:instrText xml:space="preserve"> PAGEREF _Toc24046 \h </w:instrText>
      </w:r>
      <w:r>
        <w:rPr>
          <w:color w:val="auto"/>
          <w:sz w:val="32"/>
          <w:szCs w:val="32"/>
        </w:rPr>
        <w:fldChar w:fldCharType="separate"/>
      </w:r>
      <w:r>
        <w:rPr>
          <w:color w:val="auto"/>
          <w:sz w:val="32"/>
          <w:szCs w:val="32"/>
        </w:rPr>
        <w:t>32</w:t>
      </w:r>
      <w:r>
        <w:rPr>
          <w:color w:val="auto"/>
          <w:sz w:val="32"/>
          <w:szCs w:val="32"/>
        </w:rPr>
        <w:fldChar w:fldCharType="end"/>
      </w:r>
      <w:r>
        <w:rPr>
          <w:rFonts w:hint="eastAsia" w:hAnsi="宋体"/>
          <w:bCs/>
          <w:color w:val="auto"/>
          <w:kern w:val="2"/>
          <w:sz w:val="32"/>
          <w:szCs w:val="32"/>
          <w:lang w:val="zh-CN"/>
        </w:rPr>
        <w:fldChar w:fldCharType="end"/>
      </w:r>
    </w:p>
    <w:p>
      <w:pPr>
        <w:pStyle w:val="15"/>
        <w:keepNext w:val="0"/>
        <w:keepLines w:val="0"/>
        <w:pageBreakBefore w:val="0"/>
        <w:widowControl w:val="0"/>
        <w:tabs>
          <w:tab w:val="right" w:leader="dot" w:pos="9016"/>
        </w:tabs>
        <w:kinsoku/>
        <w:wordWrap/>
        <w:overflowPunct/>
        <w:topLinePunct w:val="0"/>
        <w:autoSpaceDE w:val="0"/>
        <w:autoSpaceDN w:val="0"/>
        <w:bidi w:val="0"/>
        <w:adjustRightInd w:val="0"/>
        <w:snapToGrid/>
        <w:spacing w:line="600" w:lineRule="exact"/>
        <w:ind w:firstLine="640" w:firstLineChars="200"/>
        <w:textAlignment w:val="auto"/>
        <w:rPr>
          <w:color w:val="auto"/>
          <w:sz w:val="32"/>
          <w:szCs w:val="32"/>
        </w:rPr>
      </w:pPr>
      <w:r>
        <w:rPr>
          <w:rFonts w:hint="eastAsia" w:hAnsi="宋体"/>
          <w:bCs/>
          <w:color w:val="auto"/>
          <w:kern w:val="2"/>
          <w:sz w:val="32"/>
          <w:szCs w:val="32"/>
          <w:lang w:val="zh-CN"/>
        </w:rPr>
        <w:fldChar w:fldCharType="begin"/>
      </w:r>
      <w:r>
        <w:rPr>
          <w:rFonts w:hint="eastAsia" w:hAnsi="宋体"/>
          <w:bCs/>
          <w:color w:val="auto"/>
          <w:kern w:val="2"/>
          <w:sz w:val="32"/>
          <w:szCs w:val="32"/>
          <w:lang w:val="zh-CN"/>
        </w:rPr>
        <w:instrText xml:space="preserve"> HYPERLINK \l _Toc30131 </w:instrText>
      </w:r>
      <w:r>
        <w:rPr>
          <w:rFonts w:hint="eastAsia" w:hAnsi="宋体"/>
          <w:bCs/>
          <w:color w:val="auto"/>
          <w:kern w:val="2"/>
          <w:sz w:val="32"/>
          <w:szCs w:val="32"/>
          <w:lang w:val="zh-CN"/>
        </w:rPr>
        <w:fldChar w:fldCharType="separate"/>
      </w:r>
      <w:r>
        <w:rPr>
          <w:rFonts w:hint="eastAsia" w:hAnsi="宋体"/>
          <w:bCs/>
          <w:color w:val="auto"/>
          <w:kern w:val="44"/>
          <w:sz w:val="32"/>
          <w:szCs w:val="32"/>
          <w:lang w:val="zh-CN"/>
        </w:rPr>
        <w:t xml:space="preserve"> 第五篇  合同条款格式</w:t>
      </w:r>
      <w:r>
        <w:rPr>
          <w:color w:val="auto"/>
          <w:sz w:val="32"/>
          <w:szCs w:val="32"/>
        </w:rPr>
        <w:tab/>
      </w:r>
      <w:r>
        <w:rPr>
          <w:color w:val="auto"/>
          <w:sz w:val="32"/>
          <w:szCs w:val="32"/>
        </w:rPr>
        <w:fldChar w:fldCharType="begin"/>
      </w:r>
      <w:r>
        <w:rPr>
          <w:color w:val="auto"/>
          <w:sz w:val="32"/>
          <w:szCs w:val="32"/>
        </w:rPr>
        <w:instrText xml:space="preserve"> PAGEREF _Toc30131 \h </w:instrText>
      </w:r>
      <w:r>
        <w:rPr>
          <w:color w:val="auto"/>
          <w:sz w:val="32"/>
          <w:szCs w:val="32"/>
        </w:rPr>
        <w:fldChar w:fldCharType="separate"/>
      </w:r>
      <w:r>
        <w:rPr>
          <w:color w:val="auto"/>
          <w:sz w:val="32"/>
          <w:szCs w:val="32"/>
        </w:rPr>
        <w:t>37</w:t>
      </w:r>
      <w:r>
        <w:rPr>
          <w:color w:val="auto"/>
          <w:sz w:val="32"/>
          <w:szCs w:val="32"/>
        </w:rPr>
        <w:fldChar w:fldCharType="end"/>
      </w:r>
      <w:r>
        <w:rPr>
          <w:rFonts w:hint="eastAsia" w:hAnsi="宋体"/>
          <w:bCs/>
          <w:color w:val="auto"/>
          <w:kern w:val="2"/>
          <w:sz w:val="32"/>
          <w:szCs w:val="32"/>
          <w:lang w:val="zh-CN"/>
        </w:rPr>
        <w:fldChar w:fldCharType="end"/>
      </w:r>
    </w:p>
    <w:p>
      <w:pPr>
        <w:pStyle w:val="15"/>
        <w:keepNext w:val="0"/>
        <w:keepLines w:val="0"/>
        <w:pageBreakBefore w:val="0"/>
        <w:widowControl w:val="0"/>
        <w:tabs>
          <w:tab w:val="right" w:leader="dot" w:pos="9016"/>
        </w:tabs>
        <w:kinsoku/>
        <w:wordWrap/>
        <w:overflowPunct/>
        <w:topLinePunct w:val="0"/>
        <w:autoSpaceDE w:val="0"/>
        <w:autoSpaceDN w:val="0"/>
        <w:bidi w:val="0"/>
        <w:adjustRightInd w:val="0"/>
        <w:snapToGrid/>
        <w:spacing w:line="600" w:lineRule="exact"/>
        <w:ind w:firstLine="640" w:firstLineChars="200"/>
        <w:textAlignment w:val="auto"/>
        <w:rPr>
          <w:color w:val="auto"/>
        </w:rPr>
      </w:pPr>
      <w:r>
        <w:rPr>
          <w:rFonts w:hint="eastAsia" w:hAnsi="宋体"/>
          <w:bCs/>
          <w:color w:val="auto"/>
          <w:kern w:val="2"/>
          <w:sz w:val="32"/>
          <w:szCs w:val="32"/>
          <w:lang w:val="zh-CN"/>
        </w:rPr>
        <w:fldChar w:fldCharType="begin"/>
      </w:r>
      <w:r>
        <w:rPr>
          <w:rFonts w:hint="eastAsia" w:hAnsi="宋体"/>
          <w:bCs/>
          <w:color w:val="auto"/>
          <w:kern w:val="2"/>
          <w:sz w:val="32"/>
          <w:szCs w:val="32"/>
          <w:lang w:val="zh-CN"/>
        </w:rPr>
        <w:instrText xml:space="preserve"> HYPERLINK \l _Toc12501 </w:instrText>
      </w:r>
      <w:r>
        <w:rPr>
          <w:rFonts w:hint="eastAsia" w:hAnsi="宋体"/>
          <w:bCs/>
          <w:color w:val="auto"/>
          <w:kern w:val="2"/>
          <w:sz w:val="32"/>
          <w:szCs w:val="32"/>
          <w:lang w:val="zh-CN"/>
        </w:rPr>
        <w:fldChar w:fldCharType="separate"/>
      </w:r>
      <w:r>
        <w:rPr>
          <w:rFonts w:hint="eastAsia" w:hAnsi="宋体"/>
          <w:bCs/>
          <w:color w:val="auto"/>
          <w:kern w:val="44"/>
          <w:sz w:val="32"/>
          <w:szCs w:val="32"/>
          <w:lang w:val="zh-CN"/>
        </w:rPr>
        <w:t xml:space="preserve"> 第六篇　响应文件格式</w:t>
      </w:r>
      <w:r>
        <w:rPr>
          <w:color w:val="auto"/>
          <w:sz w:val="32"/>
          <w:szCs w:val="32"/>
        </w:rPr>
        <w:tab/>
      </w:r>
      <w:r>
        <w:rPr>
          <w:color w:val="auto"/>
          <w:sz w:val="32"/>
          <w:szCs w:val="32"/>
        </w:rPr>
        <w:fldChar w:fldCharType="begin"/>
      </w:r>
      <w:r>
        <w:rPr>
          <w:color w:val="auto"/>
          <w:sz w:val="32"/>
          <w:szCs w:val="32"/>
        </w:rPr>
        <w:instrText xml:space="preserve"> PAGEREF _Toc12501 \h </w:instrText>
      </w:r>
      <w:r>
        <w:rPr>
          <w:color w:val="auto"/>
          <w:sz w:val="32"/>
          <w:szCs w:val="32"/>
        </w:rPr>
        <w:fldChar w:fldCharType="separate"/>
      </w:r>
      <w:r>
        <w:rPr>
          <w:color w:val="auto"/>
          <w:sz w:val="32"/>
          <w:szCs w:val="32"/>
        </w:rPr>
        <w:t>43</w:t>
      </w:r>
      <w:r>
        <w:rPr>
          <w:color w:val="auto"/>
          <w:sz w:val="32"/>
          <w:szCs w:val="32"/>
        </w:rPr>
        <w:fldChar w:fldCharType="end"/>
      </w:r>
      <w:r>
        <w:rPr>
          <w:rFonts w:hint="eastAsia" w:hAnsi="宋体"/>
          <w:bCs/>
          <w:color w:val="auto"/>
          <w:kern w:val="2"/>
          <w:sz w:val="32"/>
          <w:szCs w:val="32"/>
          <w:lang w:val="zh-CN"/>
        </w:rPr>
        <w:fldChar w:fldCharType="end"/>
      </w:r>
    </w:p>
    <w:p>
      <w:pPr>
        <w:spacing w:line="360" w:lineRule="auto"/>
        <w:ind w:left="2640" w:leftChars="1100" w:right="-34" w:rightChars="-14"/>
        <w:rPr>
          <w:rFonts w:hAnsi="宋体"/>
          <w:b/>
          <w:bCs/>
          <w:color w:val="auto"/>
          <w:kern w:val="2"/>
          <w:sz w:val="28"/>
          <w:szCs w:val="28"/>
        </w:rPr>
      </w:pPr>
      <w:r>
        <w:rPr>
          <w:rFonts w:hint="eastAsia" w:hAnsi="宋体"/>
          <w:bCs/>
          <w:color w:val="auto"/>
          <w:kern w:val="2"/>
          <w:szCs w:val="28"/>
          <w:lang w:val="zh-CN"/>
        </w:rPr>
        <w:fldChar w:fldCharType="end"/>
      </w:r>
    </w:p>
    <w:p>
      <w:pPr>
        <w:spacing w:line="360" w:lineRule="auto"/>
        <w:ind w:right="16"/>
        <w:rPr>
          <w:rFonts w:hAnsi="宋体"/>
          <w:color w:val="auto"/>
          <w:kern w:val="2"/>
          <w:sz w:val="21"/>
          <w:szCs w:val="21"/>
          <w:lang w:val="zh-CN"/>
        </w:rPr>
      </w:pPr>
    </w:p>
    <w:p>
      <w:pPr>
        <w:pStyle w:val="3"/>
        <w:keepNext/>
        <w:keepLines/>
        <w:pageBreakBefore/>
        <w:tabs>
          <w:tab w:val="left" w:pos="1080"/>
        </w:tabs>
        <w:spacing w:line="360" w:lineRule="auto"/>
        <w:ind w:left="567" w:hanging="567"/>
        <w:jc w:val="center"/>
        <w:rPr>
          <w:rFonts w:hint="eastAsia" w:hAnsi="宋体"/>
          <w:b/>
          <w:bCs/>
          <w:color w:val="auto"/>
          <w:kern w:val="44"/>
          <w:sz w:val="32"/>
          <w:szCs w:val="32"/>
          <w:lang w:val="zh-CN"/>
        </w:rPr>
        <w:sectPr>
          <w:footerReference r:id="rId4" w:type="default"/>
          <w:pgSz w:w="11907" w:h="16840"/>
          <w:pgMar w:top="1440" w:right="1417" w:bottom="1440" w:left="1474" w:header="794" w:footer="437" w:gutter="0"/>
          <w:pgNumType w:start="1"/>
          <w:cols w:space="720" w:num="1"/>
          <w:docGrid w:linePitch="285" w:charSpace="0"/>
        </w:sectPr>
      </w:pPr>
      <w:bookmarkStart w:id="0" w:name="_Toc382840837"/>
      <w:bookmarkStart w:id="1" w:name="_Toc382926888"/>
    </w:p>
    <w:p>
      <w:pPr>
        <w:keepNext/>
        <w:keepLines/>
        <w:pageBreakBefore/>
        <w:widowControl w:val="0"/>
        <w:tabs>
          <w:tab w:val="left" w:pos="1080"/>
        </w:tabs>
        <w:kinsoku/>
        <w:wordWrap/>
        <w:overflowPunct/>
        <w:topLinePunct w:val="0"/>
        <w:autoSpaceDE w:val="0"/>
        <w:autoSpaceDN w:val="0"/>
        <w:bidi w:val="0"/>
        <w:adjustRightInd w:val="0"/>
        <w:snapToGrid/>
        <w:spacing w:line="460" w:lineRule="exact"/>
        <w:ind w:left="0" w:firstLine="632" w:firstLineChars="200"/>
        <w:jc w:val="center"/>
        <w:textAlignment w:val="auto"/>
        <w:outlineLvl w:val="0"/>
        <w:rPr>
          <w:rFonts w:hAnsi="宋体"/>
          <w:color w:val="auto"/>
          <w:sz w:val="21"/>
          <w:szCs w:val="21"/>
        </w:rPr>
      </w:pPr>
      <w:bookmarkStart w:id="2" w:name="_Toc17490"/>
      <w:bookmarkStart w:id="3" w:name="_Toc20215"/>
      <w:r>
        <w:rPr>
          <w:rFonts w:hint="eastAsia" w:hAnsi="宋体"/>
          <w:b/>
          <w:bCs/>
          <w:color w:val="auto"/>
          <w:kern w:val="44"/>
          <w:sz w:val="32"/>
          <w:szCs w:val="32"/>
          <w:lang w:val="zh-CN"/>
        </w:rPr>
        <w:br w:type="textWrapping"/>
      </w:r>
      <w:r>
        <w:rPr>
          <w:rFonts w:hint="eastAsia" w:hAnsi="宋体"/>
          <w:b/>
          <w:bCs/>
          <w:color w:val="auto"/>
          <w:kern w:val="44"/>
          <w:sz w:val="32"/>
          <w:szCs w:val="32"/>
          <w:lang w:val="zh-CN"/>
        </w:rPr>
        <w:t>第一篇</w:t>
      </w:r>
      <w:r>
        <w:rPr>
          <w:rFonts w:hAnsi="宋体"/>
          <w:b/>
          <w:bCs/>
          <w:color w:val="auto"/>
          <w:kern w:val="44"/>
          <w:sz w:val="32"/>
          <w:szCs w:val="32"/>
          <w:lang w:val="zh-CN"/>
        </w:rPr>
        <w:tab/>
      </w:r>
      <w:r>
        <w:rPr>
          <w:rFonts w:hint="eastAsia" w:hAnsi="宋体"/>
          <w:b/>
          <w:bCs/>
          <w:color w:val="auto"/>
          <w:kern w:val="44"/>
          <w:sz w:val="32"/>
          <w:szCs w:val="32"/>
          <w:lang w:val="zh-CN"/>
        </w:rPr>
        <w:t>谈判邀请书</w:t>
      </w:r>
      <w:bookmarkEnd w:id="0"/>
      <w:bookmarkEnd w:id="1"/>
      <w:bookmarkEnd w:id="2"/>
      <w:bookmarkEnd w:id="3"/>
    </w:p>
    <w:p>
      <w:pPr>
        <w:pageBreakBefore w:val="0"/>
        <w:tabs>
          <w:tab w:val="right" w:pos="9639"/>
        </w:tabs>
        <w:kinsoku/>
        <w:wordWrap/>
        <w:overflowPunct/>
        <w:topLinePunct w:val="0"/>
        <w:bidi w:val="0"/>
        <w:adjustRightInd/>
        <w:snapToGrid/>
        <w:spacing w:line="460" w:lineRule="exact"/>
        <w:ind w:firstLine="47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广东远东招标代理有限公司（以下简称“采购代理机构”）受</w:t>
      </w:r>
      <w:r>
        <w:rPr>
          <w:rFonts w:hint="eastAsia" w:ascii="宋体" w:hAnsi="宋体" w:eastAsia="宋体" w:cs="宋体"/>
          <w:color w:val="auto"/>
          <w:sz w:val="24"/>
          <w:szCs w:val="24"/>
          <w:lang w:eastAsia="zh-CN"/>
        </w:rPr>
        <w:t>南方医科大学第七附属医院</w:t>
      </w:r>
      <w:r>
        <w:rPr>
          <w:rFonts w:hint="eastAsia" w:ascii="宋体" w:hAnsi="宋体" w:eastAsia="宋体" w:cs="宋体"/>
          <w:color w:val="auto"/>
          <w:sz w:val="24"/>
          <w:szCs w:val="24"/>
        </w:rPr>
        <w:t xml:space="preserve"> （以下简称“采购人”）的委托，为</w:t>
      </w:r>
      <w:r>
        <w:rPr>
          <w:rFonts w:hint="eastAsia" w:hAnsi="宋体" w:cs="宋体"/>
          <w:color w:val="auto"/>
          <w:sz w:val="24"/>
          <w:szCs w:val="24"/>
          <w:lang w:eastAsia="zh-CN"/>
        </w:rPr>
        <w:t>洗衣房洗涤用品采购项目（第二次）</w:t>
      </w:r>
      <w:r>
        <w:rPr>
          <w:rFonts w:hint="eastAsia" w:ascii="宋体" w:hAnsi="宋体" w:eastAsia="宋体" w:cs="宋体"/>
          <w:color w:val="auto"/>
          <w:sz w:val="24"/>
          <w:szCs w:val="24"/>
        </w:rPr>
        <w:t>（项目编号：</w:t>
      </w:r>
      <w:r>
        <w:rPr>
          <w:rFonts w:hint="eastAsia" w:hAnsi="宋体" w:cs="宋体"/>
          <w:color w:val="auto"/>
          <w:sz w:val="24"/>
          <w:szCs w:val="24"/>
          <w:lang w:val="zh-CN"/>
        </w:rPr>
        <w:t>NFQYCG2023002</w:t>
      </w:r>
      <w:r>
        <w:rPr>
          <w:rFonts w:hint="eastAsia" w:ascii="宋体" w:hAnsi="宋体" w:eastAsia="宋体" w:cs="宋体"/>
          <w:color w:val="auto"/>
          <w:sz w:val="24"/>
          <w:szCs w:val="24"/>
        </w:rPr>
        <w:t>）进行国内竞争性谈判，欢迎符合条件的供应商参</w:t>
      </w:r>
      <w:r>
        <w:rPr>
          <w:rFonts w:hint="eastAsia" w:ascii="宋体" w:hAnsi="宋体" w:eastAsia="宋体" w:cs="宋体"/>
          <w:color w:val="auto"/>
          <w:sz w:val="24"/>
          <w:szCs w:val="24"/>
          <w:lang w:eastAsia="zh-CN"/>
        </w:rPr>
        <w:t>加</w:t>
      </w:r>
      <w:r>
        <w:rPr>
          <w:rFonts w:hint="eastAsia" w:hAnsi="宋体" w:cs="宋体"/>
          <w:color w:val="auto"/>
          <w:sz w:val="24"/>
          <w:szCs w:val="24"/>
          <w:lang w:eastAsia="zh-CN"/>
        </w:rPr>
        <w:t>响应</w:t>
      </w:r>
      <w:r>
        <w:rPr>
          <w:rFonts w:hint="eastAsia" w:ascii="宋体" w:hAnsi="宋体" w:eastAsia="宋体" w:cs="宋体"/>
          <w:color w:val="auto"/>
          <w:sz w:val="24"/>
          <w:szCs w:val="24"/>
        </w:rPr>
        <w:t>报价。</w:t>
      </w:r>
    </w:p>
    <w:p>
      <w:pPr>
        <w:pageBreakBefore w:val="0"/>
        <w:tabs>
          <w:tab w:val="right" w:pos="9639"/>
        </w:tabs>
        <w:kinsoku/>
        <w:wordWrap/>
        <w:overflowPunct/>
        <w:topLinePunct w:val="0"/>
        <w:bidi w:val="0"/>
        <w:adjustRightInd/>
        <w:snapToGrid/>
        <w:spacing w:line="460" w:lineRule="exact"/>
        <w:ind w:firstLine="47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郑重说明:该项目已在采购人官网公开挂网一次，因</w:t>
      </w:r>
      <w:r>
        <w:rPr>
          <w:rFonts w:hint="eastAsia" w:hAnsi="宋体" w:cs="宋体"/>
          <w:color w:val="auto"/>
          <w:sz w:val="24"/>
          <w:szCs w:val="24"/>
          <w:lang w:eastAsia="zh-CN"/>
        </w:rPr>
        <w:t>递交响应文件截止时间止递交响应文件</w:t>
      </w:r>
      <w:r>
        <w:rPr>
          <w:rFonts w:hint="eastAsia" w:ascii="宋体" w:hAnsi="宋体" w:eastAsia="宋体" w:cs="宋体"/>
          <w:color w:val="auto"/>
          <w:sz w:val="24"/>
          <w:szCs w:val="24"/>
        </w:rPr>
        <w:t>的供应商不足三家，本项目流标。为不影响采购人</w:t>
      </w:r>
      <w:r>
        <w:rPr>
          <w:rFonts w:hint="eastAsia" w:hAnsi="宋体" w:cs="宋体"/>
          <w:color w:val="auto"/>
          <w:sz w:val="24"/>
          <w:szCs w:val="24"/>
          <w:lang w:eastAsia="zh-CN"/>
        </w:rPr>
        <w:t>洗衣房洗涤用品供应</w:t>
      </w:r>
      <w:r>
        <w:rPr>
          <w:rFonts w:hint="eastAsia" w:ascii="宋体" w:hAnsi="宋体" w:eastAsia="宋体" w:cs="宋体"/>
          <w:color w:val="auto"/>
          <w:sz w:val="24"/>
          <w:szCs w:val="24"/>
        </w:rPr>
        <w:t>，保证生产安全，若满足要求的</w:t>
      </w:r>
      <w:r>
        <w:rPr>
          <w:rFonts w:hint="eastAsia" w:hAnsi="宋体" w:cs="宋体"/>
          <w:color w:val="auto"/>
          <w:sz w:val="24"/>
          <w:szCs w:val="24"/>
          <w:lang w:eastAsia="zh-CN"/>
        </w:rPr>
        <w:t>供应商</w:t>
      </w:r>
      <w:r>
        <w:rPr>
          <w:rFonts w:hint="eastAsia" w:ascii="宋体" w:hAnsi="宋体" w:eastAsia="宋体" w:cs="宋体"/>
          <w:color w:val="auto"/>
          <w:sz w:val="24"/>
          <w:szCs w:val="24"/>
        </w:rPr>
        <w:t>只有一家，则由采购人评审小组直接推荐为成交人，若</w:t>
      </w:r>
      <w:r>
        <w:rPr>
          <w:rFonts w:hint="eastAsia" w:hAnsi="宋体" w:cs="宋体"/>
          <w:color w:val="auto"/>
          <w:sz w:val="24"/>
          <w:szCs w:val="24"/>
          <w:lang w:eastAsia="zh-CN"/>
        </w:rPr>
        <w:t>供应商</w:t>
      </w:r>
      <w:r>
        <w:rPr>
          <w:rFonts w:hint="eastAsia" w:ascii="宋体" w:hAnsi="宋体" w:eastAsia="宋体" w:cs="宋体"/>
          <w:color w:val="auto"/>
          <w:sz w:val="24"/>
          <w:szCs w:val="24"/>
        </w:rPr>
        <w:t>大于等于2家，则由采购人评审小组经</w:t>
      </w:r>
      <w:r>
        <w:rPr>
          <w:rFonts w:hint="eastAsia" w:hAnsi="宋体" w:cs="宋体"/>
          <w:color w:val="auto"/>
          <w:sz w:val="24"/>
          <w:szCs w:val="24"/>
          <w:lang w:eastAsia="zh-CN"/>
        </w:rPr>
        <w:t>谈判</w:t>
      </w:r>
      <w:r>
        <w:rPr>
          <w:rFonts w:hint="eastAsia" w:ascii="宋体" w:hAnsi="宋体" w:eastAsia="宋体" w:cs="宋体"/>
          <w:color w:val="auto"/>
          <w:sz w:val="24"/>
          <w:szCs w:val="24"/>
        </w:rPr>
        <w:t>后推荐</w:t>
      </w:r>
      <w:r>
        <w:rPr>
          <w:rFonts w:hint="eastAsia" w:hAnsi="宋体" w:cs="宋体"/>
          <w:color w:val="auto"/>
          <w:sz w:val="24"/>
          <w:szCs w:val="24"/>
          <w:lang w:eastAsia="zh-CN"/>
        </w:rPr>
        <w:t>报价</w:t>
      </w:r>
      <w:r>
        <w:rPr>
          <w:rFonts w:hint="eastAsia" w:ascii="宋体" w:hAnsi="宋体" w:eastAsia="宋体" w:cs="宋体"/>
          <w:color w:val="auto"/>
          <w:sz w:val="24"/>
          <w:szCs w:val="24"/>
        </w:rPr>
        <w:t>最</w:t>
      </w:r>
      <w:r>
        <w:rPr>
          <w:rFonts w:hint="eastAsia" w:hAnsi="宋体" w:cs="宋体"/>
          <w:color w:val="auto"/>
          <w:sz w:val="24"/>
          <w:szCs w:val="24"/>
          <w:lang w:eastAsia="zh-CN"/>
        </w:rPr>
        <w:t>低</w:t>
      </w:r>
      <w:r>
        <w:rPr>
          <w:rFonts w:hint="eastAsia" w:ascii="宋体" w:hAnsi="宋体" w:eastAsia="宋体" w:cs="宋体"/>
          <w:color w:val="auto"/>
          <w:sz w:val="24"/>
          <w:szCs w:val="24"/>
        </w:rPr>
        <w:t>者为成交人。</w:t>
      </w:r>
    </w:p>
    <w:p>
      <w:pPr>
        <w:pageBreakBefore w:val="0"/>
        <w:tabs>
          <w:tab w:val="right" w:pos="9639"/>
        </w:tabs>
        <w:kinsoku/>
        <w:wordWrap/>
        <w:overflowPunct/>
        <w:topLinePunct w:val="0"/>
        <w:bidi w:val="0"/>
        <w:adjustRightInd/>
        <w:snapToGrid/>
        <w:spacing w:line="460" w:lineRule="exact"/>
        <w:ind w:firstLine="47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本采购项目有关事项如下：</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val="0"/>
          <w:color w:val="auto"/>
          <w:sz w:val="24"/>
          <w:szCs w:val="24"/>
          <w:lang w:eastAsia="zh-CN"/>
        </w:rPr>
      </w:pPr>
      <w:bookmarkStart w:id="4" w:name="_Toc9842"/>
      <w:bookmarkStart w:id="5" w:name="_Toc3002"/>
      <w:bookmarkStart w:id="6" w:name="_Toc10113"/>
      <w:bookmarkStart w:id="7" w:name="_Toc29495"/>
      <w:bookmarkStart w:id="8" w:name="_Toc15831"/>
      <w:r>
        <w:rPr>
          <w:rFonts w:hint="eastAsia" w:ascii="宋体" w:hAnsi="宋体" w:eastAsia="宋体" w:cs="宋体"/>
          <w:b/>
          <w:bCs w:val="0"/>
          <w:color w:val="auto"/>
          <w:sz w:val="24"/>
          <w:szCs w:val="24"/>
        </w:rPr>
        <w:t>一、项目</w:t>
      </w:r>
      <w:r>
        <w:rPr>
          <w:rFonts w:hint="eastAsia" w:ascii="宋体" w:hAnsi="宋体" w:eastAsia="宋体" w:cs="宋体"/>
          <w:b/>
          <w:bCs w:val="0"/>
          <w:color w:val="auto"/>
          <w:sz w:val="24"/>
          <w:szCs w:val="24"/>
          <w:lang w:eastAsia="zh-CN"/>
        </w:rPr>
        <w:t>基本情况</w:t>
      </w:r>
      <w:bookmarkEnd w:id="4"/>
      <w:bookmarkEnd w:id="5"/>
      <w:bookmarkEnd w:id="6"/>
      <w:bookmarkEnd w:id="7"/>
      <w:bookmarkEnd w:id="8"/>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（一）项目名称：</w:t>
      </w:r>
      <w:r>
        <w:rPr>
          <w:rFonts w:hint="eastAsia" w:hAnsi="宋体" w:cs="宋体"/>
          <w:color w:val="auto"/>
          <w:sz w:val="24"/>
          <w:szCs w:val="24"/>
          <w:lang w:eastAsia="zh-CN"/>
        </w:rPr>
        <w:t>洗衣房洗涤用品采购项目（第二次）</w:t>
      </w:r>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（二）项目编号：</w:t>
      </w:r>
      <w:r>
        <w:rPr>
          <w:rFonts w:hint="eastAsia" w:hAnsi="宋体" w:cs="宋体"/>
          <w:color w:val="auto"/>
          <w:sz w:val="24"/>
          <w:szCs w:val="24"/>
          <w:lang w:eastAsia="zh-CN"/>
        </w:rPr>
        <w:t>NFQYCG2023002</w:t>
      </w:r>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（三）采购预算金额（人民币）：</w:t>
      </w:r>
      <w:r>
        <w:rPr>
          <w:rFonts w:hint="eastAsia" w:ascii="宋体" w:hAnsi="宋体" w:eastAsia="宋体" w:cs="宋体"/>
          <w:color w:val="auto"/>
          <w:sz w:val="24"/>
          <w:szCs w:val="24"/>
          <w:lang w:val="en-US" w:eastAsia="zh-CN"/>
        </w:rPr>
        <w:t>30万元</w:t>
      </w:r>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（四）项目内容：</w:t>
      </w:r>
    </w:p>
    <w:tbl>
      <w:tblPr>
        <w:tblStyle w:val="22"/>
        <w:tblW w:w="8705"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9"/>
        <w:gridCol w:w="1940"/>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049" w:type="dxa"/>
          </w:tcPr>
          <w:p>
            <w:pPr>
              <w:pageBreakBefore w:val="0"/>
              <w:kinsoku/>
              <w:wordWrap/>
              <w:overflowPunct/>
              <w:topLinePunct w:val="0"/>
              <w:bidi w:val="0"/>
              <w:snapToGrid/>
              <w:jc w:val="center"/>
              <w:textAlignment w:val="auto"/>
              <w:outlineLvl w:val="9"/>
              <w:rPr>
                <w:rFonts w:hint="eastAsia"/>
                <w:b/>
                <w:bCs/>
                <w:color w:val="auto"/>
                <w:sz w:val="28"/>
                <w:szCs w:val="28"/>
                <w:vertAlign w:val="baseline"/>
                <w:lang w:eastAsia="zh-CN"/>
              </w:rPr>
            </w:pPr>
            <w:r>
              <w:rPr>
                <w:rFonts w:hint="eastAsia"/>
                <w:b/>
                <w:bCs/>
                <w:color w:val="auto"/>
                <w:sz w:val="28"/>
                <w:szCs w:val="28"/>
                <w:vertAlign w:val="baseline"/>
                <w:lang w:eastAsia="zh-CN"/>
              </w:rPr>
              <w:t>项目内容</w:t>
            </w:r>
          </w:p>
        </w:tc>
        <w:tc>
          <w:tcPr>
            <w:tcW w:w="1940" w:type="dxa"/>
          </w:tcPr>
          <w:p>
            <w:pPr>
              <w:pageBreakBefore w:val="0"/>
              <w:kinsoku/>
              <w:wordWrap/>
              <w:overflowPunct/>
              <w:topLinePunct w:val="0"/>
              <w:bidi w:val="0"/>
              <w:snapToGrid/>
              <w:jc w:val="center"/>
              <w:textAlignment w:val="auto"/>
              <w:outlineLvl w:val="9"/>
              <w:rPr>
                <w:rFonts w:hint="eastAsia"/>
                <w:b/>
                <w:bCs/>
                <w:color w:val="auto"/>
                <w:sz w:val="28"/>
                <w:szCs w:val="28"/>
                <w:vertAlign w:val="baseline"/>
                <w:lang w:eastAsia="zh-CN"/>
              </w:rPr>
            </w:pPr>
            <w:r>
              <w:rPr>
                <w:rFonts w:hint="eastAsia"/>
                <w:b/>
                <w:bCs/>
                <w:color w:val="auto"/>
                <w:sz w:val="28"/>
                <w:szCs w:val="28"/>
                <w:vertAlign w:val="baseline"/>
                <w:lang w:eastAsia="zh-CN"/>
              </w:rPr>
              <w:t>供货期</w:t>
            </w:r>
          </w:p>
        </w:tc>
        <w:tc>
          <w:tcPr>
            <w:tcW w:w="2716" w:type="dxa"/>
          </w:tcPr>
          <w:p>
            <w:pPr>
              <w:pageBreakBefore w:val="0"/>
              <w:kinsoku/>
              <w:wordWrap/>
              <w:overflowPunct/>
              <w:topLinePunct w:val="0"/>
              <w:bidi w:val="0"/>
              <w:snapToGrid/>
              <w:jc w:val="center"/>
              <w:textAlignment w:val="auto"/>
              <w:outlineLvl w:val="9"/>
              <w:rPr>
                <w:rFonts w:hint="eastAsia"/>
                <w:b/>
                <w:bCs/>
                <w:color w:val="auto"/>
                <w:sz w:val="28"/>
                <w:szCs w:val="28"/>
                <w:vertAlign w:val="baseline"/>
                <w:lang w:eastAsia="zh-CN"/>
              </w:rPr>
            </w:pPr>
            <w:r>
              <w:rPr>
                <w:rFonts w:hint="eastAsia"/>
                <w:b/>
                <w:bCs/>
                <w:color w:val="auto"/>
                <w:sz w:val="28"/>
                <w:szCs w:val="28"/>
                <w:vertAlign w:val="baseline"/>
                <w:lang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4049" w:type="dxa"/>
            <w:vAlign w:val="center"/>
          </w:tcPr>
          <w:p>
            <w:pPr>
              <w:pageBreakBefore w:val="0"/>
              <w:kinsoku/>
              <w:wordWrap/>
              <w:overflowPunct/>
              <w:topLinePunct w:val="0"/>
              <w:autoSpaceDE/>
              <w:autoSpaceDN/>
              <w:bidi w:val="0"/>
              <w:adjustRightInd/>
              <w:snapToGrid/>
              <w:spacing w:line="460" w:lineRule="exact"/>
              <w:ind w:firstLine="472" w:firstLineChars="200"/>
              <w:jc w:val="center"/>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洗衣房洗涤用品</w:t>
            </w:r>
          </w:p>
        </w:tc>
        <w:tc>
          <w:tcPr>
            <w:tcW w:w="1940" w:type="dxa"/>
            <w:vAlign w:val="center"/>
          </w:tcPr>
          <w:p>
            <w:pPr>
              <w:pageBreakBefore w:val="0"/>
              <w:kinsoku/>
              <w:wordWrap/>
              <w:overflowPunct/>
              <w:topLinePunct w:val="0"/>
              <w:autoSpaceDE/>
              <w:autoSpaceDN/>
              <w:bidi w:val="0"/>
              <w:adjustRightInd/>
              <w:snapToGrid/>
              <w:spacing w:line="460" w:lineRule="exact"/>
              <w:jc w:val="center"/>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3年</w:t>
            </w:r>
          </w:p>
        </w:tc>
        <w:tc>
          <w:tcPr>
            <w:tcW w:w="2716" w:type="dxa"/>
            <w:vAlign w:val="center"/>
          </w:tcPr>
          <w:p>
            <w:pPr>
              <w:pageBreakBefore w:val="0"/>
              <w:kinsoku/>
              <w:wordWrap/>
              <w:overflowPunct/>
              <w:topLinePunct w:val="0"/>
              <w:autoSpaceDE/>
              <w:autoSpaceDN/>
              <w:bidi w:val="0"/>
              <w:adjustRightInd/>
              <w:snapToGrid/>
              <w:spacing w:line="460" w:lineRule="exact"/>
              <w:ind w:firstLine="472" w:firstLineChars="200"/>
              <w:jc w:val="center"/>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人民币</w:t>
            </w:r>
            <w:r>
              <w:rPr>
                <w:rFonts w:hint="eastAsia" w:asciiTheme="minorEastAsia" w:hAnsiTheme="minorEastAsia" w:eastAsiaTheme="minorEastAsia" w:cstheme="minorEastAsia"/>
                <w:color w:val="auto"/>
                <w:sz w:val="24"/>
                <w:szCs w:val="24"/>
                <w:lang w:val="en-US" w:eastAsia="zh-CN"/>
              </w:rPr>
              <w:t>30万元</w:t>
            </w:r>
          </w:p>
        </w:tc>
      </w:tr>
    </w:tbl>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（五）简要技术服务：响应供应商必须对该项目所有内容进行响应报价，不允许只对其中部分内容进行响应报价。详细技术参数及执行标准、规格等详见本谈判文件中的第三部分《用户需求书》。</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lang w:val="en-US" w:eastAsia="zh-CN"/>
        </w:rPr>
        <w:t>接到采购人通知后的次日正常上班时间</w:t>
      </w:r>
      <w:r>
        <w:rPr>
          <w:rFonts w:hint="eastAsia" w:ascii="宋体" w:hAnsi="宋体" w:eastAsia="宋体" w:cs="宋体"/>
          <w:color w:val="auto"/>
          <w:sz w:val="24"/>
          <w:szCs w:val="24"/>
          <w:lang w:val="en-US" w:eastAsia="zh-CN"/>
        </w:rPr>
        <w:t>（上午8：30-下午4：00）</w:t>
      </w:r>
      <w:r>
        <w:rPr>
          <w:rFonts w:hint="eastAsia" w:asciiTheme="minorEastAsia" w:hAnsiTheme="minorEastAsia" w:eastAsiaTheme="minorEastAsia" w:cstheme="minorEastAsia"/>
          <w:color w:val="auto"/>
          <w:sz w:val="24"/>
          <w:szCs w:val="24"/>
          <w:lang w:val="en-US" w:eastAsia="zh-CN"/>
        </w:rPr>
        <w:t>内完成送货。</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val="0"/>
          <w:color w:val="auto"/>
          <w:sz w:val="24"/>
          <w:szCs w:val="24"/>
          <w:lang w:val="zh-CN" w:eastAsia="zh-CN"/>
        </w:rPr>
      </w:pPr>
      <w:bookmarkStart w:id="9" w:name="_Toc29501"/>
      <w:bookmarkStart w:id="10" w:name="_Toc32167"/>
      <w:r>
        <w:rPr>
          <w:rFonts w:hint="eastAsia" w:ascii="宋体" w:hAnsi="宋体" w:eastAsia="宋体" w:cs="宋体"/>
          <w:b/>
          <w:bCs w:val="0"/>
          <w:color w:val="auto"/>
          <w:sz w:val="24"/>
          <w:szCs w:val="24"/>
          <w:lang w:val="zh-CN" w:eastAsia="zh-CN"/>
        </w:rPr>
        <w:t>二、</w:t>
      </w:r>
      <w:r>
        <w:rPr>
          <w:rFonts w:hint="eastAsia" w:eastAsia="宋体" w:cs="宋体"/>
          <w:b/>
          <w:bCs w:val="0"/>
          <w:color w:val="auto"/>
          <w:sz w:val="24"/>
          <w:szCs w:val="24"/>
          <w:lang w:val="zh-CN" w:eastAsia="zh-CN"/>
        </w:rPr>
        <w:t>合格的</w:t>
      </w:r>
      <w:bookmarkEnd w:id="9"/>
      <w:bookmarkEnd w:id="10"/>
      <w:r>
        <w:rPr>
          <w:rFonts w:hint="eastAsia" w:cs="宋体"/>
          <w:b/>
          <w:bCs w:val="0"/>
          <w:color w:val="auto"/>
          <w:sz w:val="24"/>
          <w:szCs w:val="24"/>
          <w:lang w:val="zh-CN" w:eastAsia="zh-CN"/>
        </w:rPr>
        <w:t>响应供应商</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具有独立承担民事责任</w:t>
      </w:r>
      <w:r>
        <w:rPr>
          <w:rFonts w:hint="eastAsia" w:asciiTheme="minorEastAsia" w:hAnsiTheme="minorEastAsia" w:eastAsia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rPr>
        <w:t>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提交营业执照复印件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具有良好的商业信誉和健全的财务会计制度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color w:val="auto"/>
          <w:sz w:val="24"/>
          <w:szCs w:val="24"/>
          <w:lang w:eastAsia="zh-CN"/>
        </w:rPr>
        <w:t>相应证明资料）</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有依法缴纳税收和社会保障资金的良好记录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提供相应证明材料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（四）</w:t>
      </w:r>
      <w:r>
        <w:rPr>
          <w:rFonts w:hint="eastAsia" w:asciiTheme="minorEastAsia" w:hAnsiTheme="minorEastAsia" w:eastAsiaTheme="minorEastAsia" w:cstheme="minorEastAsia"/>
          <w:color w:val="auto"/>
          <w:sz w:val="24"/>
          <w:szCs w:val="24"/>
        </w:rPr>
        <w:t>具有履行合同所必需的设备和专业技术能力</w:t>
      </w:r>
      <w:r>
        <w:rPr>
          <w:rFonts w:hint="eastAsia" w:asciiTheme="minorEastAsia" w:hAnsiTheme="minorEastAsia" w:eastAsiaTheme="minorEastAsia" w:cstheme="minorEastAsia"/>
          <w:color w:val="auto"/>
          <w:sz w:val="24"/>
          <w:szCs w:val="24"/>
          <w:lang w:eastAsia="zh-CN"/>
        </w:rPr>
        <w:t>（提供相应证明资料）</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（五）</w:t>
      </w:r>
      <w:r>
        <w:rPr>
          <w:rFonts w:hint="eastAsia" w:asciiTheme="minorEastAsia" w:hAnsiTheme="minorEastAsia" w:eastAsiaTheme="minorEastAsia" w:cstheme="minorEastAsia"/>
          <w:color w:val="auto"/>
          <w:sz w:val="24"/>
          <w:szCs w:val="24"/>
        </w:rPr>
        <w:t>参加本次采购活动前三年内在经营活动中没有重大违法记录（提供书面声明）；</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eastAsiaTheme="minorEastAsia" w:cstheme="minorEastAsia"/>
          <w:color w:val="auto"/>
          <w:sz w:val="24"/>
          <w:szCs w:val="24"/>
          <w:lang w:eastAsia="zh-CN"/>
        </w:rPr>
        <w:t>，不允许</w:t>
      </w:r>
      <w:r>
        <w:rPr>
          <w:rFonts w:hint="eastAsia" w:asciiTheme="minorEastAsia" w:hAnsiTheme="minorEastAsia" w:eastAsiaTheme="minorEastAsia" w:cstheme="minorEastAsia"/>
          <w:color w:val="auto"/>
          <w:sz w:val="24"/>
          <w:szCs w:val="24"/>
        </w:rPr>
        <w:t>转包</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rPr>
        <w:t>已登记报名并</w:t>
      </w:r>
      <w:r>
        <w:rPr>
          <w:rFonts w:hint="eastAsia" w:asciiTheme="minorEastAsia" w:hAnsiTheme="minorEastAsia" w:eastAsiaTheme="minorEastAsia" w:cstheme="minorEastAsia"/>
          <w:color w:val="auto"/>
          <w:sz w:val="24"/>
          <w:szCs w:val="24"/>
          <w:lang w:eastAsia="zh-CN"/>
        </w:rPr>
        <w:t>全部有效响应</w:t>
      </w:r>
      <w:r>
        <w:rPr>
          <w:rFonts w:hint="eastAsia" w:asciiTheme="minorEastAsia" w:hAnsiTheme="minorEastAsia" w:eastAsiaTheme="minorEastAsia" w:cstheme="minorEastAsia"/>
          <w:color w:val="auto"/>
          <w:sz w:val="24"/>
          <w:szCs w:val="24"/>
        </w:rPr>
        <w:t>本</w:t>
      </w:r>
      <w:r>
        <w:rPr>
          <w:rFonts w:hint="eastAsia" w:asciiTheme="minorEastAsia" w:hAnsi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的</w:t>
      </w:r>
      <w:r>
        <w:rPr>
          <w:rFonts w:hint="eastAsia" w:asciiTheme="minorEastAsia" w:hAnsiTheme="minorEastAsia" w:cstheme="minorEastAsia"/>
          <w:color w:val="auto"/>
          <w:sz w:val="24"/>
          <w:szCs w:val="24"/>
          <w:lang w:eastAsia="zh-CN"/>
        </w:rPr>
        <w:t>响应供应商</w:t>
      </w:r>
      <w:r>
        <w:rPr>
          <w:rFonts w:hint="eastAsia" w:asciiTheme="minorEastAsia" w:hAnsiTheme="minorEastAsia" w:eastAsiaTheme="minorEastAsia" w:cstheme="minorEastAsia"/>
          <w:color w:val="auto"/>
          <w:sz w:val="24"/>
          <w:szCs w:val="24"/>
        </w:rPr>
        <w:t>。</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eastAsia="宋体" w:cs="宋体"/>
          <w:b/>
          <w:bCs w:val="0"/>
          <w:color w:val="auto"/>
          <w:sz w:val="24"/>
          <w:szCs w:val="24"/>
          <w:lang w:val="zh-CN" w:eastAsia="zh-CN"/>
        </w:rPr>
      </w:pPr>
      <w:r>
        <w:rPr>
          <w:rFonts w:hint="eastAsia" w:eastAsia="宋体" w:cs="宋体"/>
          <w:b/>
          <w:bCs w:val="0"/>
          <w:color w:val="auto"/>
          <w:sz w:val="24"/>
          <w:szCs w:val="24"/>
          <w:lang w:val="zh-CN" w:eastAsia="zh-CN"/>
        </w:rPr>
        <w:t>三、获取采购文件</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2023</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7</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u w:val="single"/>
          <w:lang w:val="en-US" w:eastAsia="zh-CN"/>
        </w:rPr>
        <w:t>2023</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13</w:t>
      </w:r>
      <w:r>
        <w:rPr>
          <w:rFonts w:hint="eastAsia" w:asciiTheme="minorEastAsia" w:hAnsiTheme="minorEastAsia" w:eastAsiaTheme="minorEastAsia" w:cstheme="minorEastAsia"/>
          <w:color w:val="auto"/>
          <w:sz w:val="24"/>
          <w:szCs w:val="24"/>
        </w:rPr>
        <w:t>日，每天上午9:00至12:00，下午14:30至17:30。（北京时间，法定节假日除外）</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地点：远东电子交易平台http://www.gdydzb.com/</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方式：网上</w:t>
      </w:r>
      <w:r>
        <w:rPr>
          <w:rFonts w:hint="eastAsia" w:asciiTheme="minorEastAsia" w:hAnsiTheme="minorEastAsia" w:eastAsiaTheme="minorEastAsia" w:cstheme="minorEastAsia"/>
          <w:color w:val="auto"/>
          <w:sz w:val="24"/>
          <w:szCs w:val="24"/>
          <w:lang w:eastAsia="zh-CN"/>
        </w:rPr>
        <w:t>获取</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w:t>
      </w: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eastAsia="zh-CN"/>
        </w:rPr>
        <w:t>免费</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（五）</w:t>
      </w:r>
      <w:r>
        <w:rPr>
          <w:rFonts w:hint="eastAsia" w:asciiTheme="minorEastAsia" w:hAnsiTheme="minorEastAsia" w:eastAsiaTheme="minorEastAsia" w:cstheme="minorEastAsia"/>
          <w:color w:val="auto"/>
          <w:sz w:val="24"/>
          <w:szCs w:val="24"/>
        </w:rPr>
        <w:t>若已</w:t>
      </w:r>
      <w:r>
        <w:rPr>
          <w:rFonts w:hint="eastAsia" w:asciiTheme="minorEastAsia" w:hAnsiTheme="minorEastAsia" w:eastAsiaTheme="minorEastAsia" w:cstheme="minorEastAsia"/>
          <w:color w:val="auto"/>
          <w:sz w:val="24"/>
          <w:szCs w:val="24"/>
          <w:lang w:eastAsia="zh-CN"/>
        </w:rPr>
        <w:t>获取本</w:t>
      </w:r>
      <w:r>
        <w:rPr>
          <w:rFonts w:hint="eastAsia" w:asciiTheme="minorEastAsia" w:hAnsiTheme="minorEastAsia" w:cstheme="minorEastAsia"/>
          <w:color w:val="auto"/>
          <w:sz w:val="24"/>
          <w:szCs w:val="24"/>
          <w:lang w:eastAsia="zh-CN"/>
        </w:rPr>
        <w:t>谈判</w:t>
      </w:r>
      <w:r>
        <w:rPr>
          <w:rFonts w:hint="eastAsia" w:asciiTheme="minorEastAsia" w:hAnsiTheme="minorEastAsia" w:eastAsiaTheme="minorEastAsia" w:cstheme="minorEastAsia"/>
          <w:color w:val="auto"/>
          <w:sz w:val="24"/>
          <w:szCs w:val="24"/>
        </w:rPr>
        <w:t>文件而决定不参加本项目</w:t>
      </w:r>
      <w:r>
        <w:rPr>
          <w:rFonts w:hint="eastAsia" w:asciiTheme="minorEastAsia" w:hAnsiTheme="minorEastAsia" w:eastAsiaTheme="minorEastAsia" w:cstheme="minorEastAsia"/>
          <w:color w:val="auto"/>
          <w:sz w:val="24"/>
          <w:szCs w:val="24"/>
          <w:lang w:eastAsia="zh-CN"/>
        </w:rPr>
        <w:t>报价</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响应供应商</w:t>
      </w:r>
      <w:r>
        <w:rPr>
          <w:rFonts w:hint="eastAsia" w:asciiTheme="minorEastAsia" w:hAnsiTheme="minorEastAsia" w:eastAsiaTheme="minorEastAsia" w:cstheme="minorEastAsia"/>
          <w:color w:val="auto"/>
          <w:sz w:val="24"/>
          <w:szCs w:val="24"/>
        </w:rPr>
        <w:t>，应在</w:t>
      </w:r>
      <w:r>
        <w:rPr>
          <w:rFonts w:hint="eastAsia" w:asciiTheme="minorEastAsia" w:hAnsiTheme="minorEastAsia" w:eastAsiaTheme="minorEastAsia" w:cstheme="minorEastAsia"/>
          <w:color w:val="auto"/>
          <w:sz w:val="24"/>
          <w:szCs w:val="24"/>
          <w:lang w:eastAsia="zh-CN"/>
        </w:rPr>
        <w:t>谈判开始</w:t>
      </w:r>
      <w:r>
        <w:rPr>
          <w:rFonts w:hint="eastAsia" w:asciiTheme="minorEastAsia" w:hAnsiTheme="minorEastAsia" w:eastAsiaTheme="minorEastAsia" w:cstheme="minorEastAsia"/>
          <w:color w:val="auto"/>
          <w:sz w:val="24"/>
          <w:szCs w:val="24"/>
        </w:rPr>
        <w:t>时间截止前1个工作日以书面形式（加盖公章）通知采购代理机构。</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val="0"/>
          <w:color w:val="auto"/>
          <w:sz w:val="24"/>
          <w:szCs w:val="24"/>
          <w:lang w:val="zh-CN" w:eastAsia="zh-CN"/>
        </w:rPr>
      </w:pPr>
      <w:bookmarkStart w:id="11" w:name="_Toc15578"/>
      <w:bookmarkStart w:id="12" w:name="_Toc32190"/>
      <w:r>
        <w:rPr>
          <w:rFonts w:hint="eastAsia" w:ascii="宋体" w:hAnsi="宋体" w:eastAsia="宋体" w:cs="宋体"/>
          <w:b/>
          <w:bCs w:val="0"/>
          <w:color w:val="auto"/>
          <w:sz w:val="24"/>
          <w:szCs w:val="24"/>
          <w:lang w:val="zh-CN"/>
        </w:rPr>
        <w:t>四、</w:t>
      </w:r>
      <w:r>
        <w:rPr>
          <w:rFonts w:hint="eastAsia" w:ascii="宋体" w:hAnsi="宋体" w:eastAsia="宋体" w:cs="宋体"/>
          <w:b/>
          <w:bCs w:val="0"/>
          <w:color w:val="auto"/>
          <w:sz w:val="24"/>
          <w:szCs w:val="24"/>
          <w:lang w:val="zh-CN" w:eastAsia="zh-CN"/>
        </w:rPr>
        <w:t>递交截止时间、开启时间和地点</w:t>
      </w:r>
      <w:bookmarkEnd w:id="11"/>
      <w:bookmarkEnd w:id="12"/>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zh-CN" w:eastAsia="zh-CN"/>
        </w:rPr>
        <w:t>（一）</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lang w:val="zh-CN" w:eastAsia="zh-CN"/>
        </w:rPr>
        <w:t>递交地点：</w:t>
      </w:r>
      <w:r>
        <w:rPr>
          <w:rFonts w:hint="eastAsia" w:asciiTheme="minorEastAsia" w:hAnsiTheme="minorEastAsia" w:eastAsiaTheme="minorEastAsia" w:cstheme="minorEastAsia"/>
          <w:color w:val="auto"/>
          <w:sz w:val="24"/>
          <w:szCs w:val="24"/>
          <w:lang w:eastAsia="zh-CN"/>
        </w:rPr>
        <w:t>南方医科大学第七附属医院全科医学楼四楼招标采购会议室413（佛山市南海区里水镇里官路得胜路段28号）。</w:t>
      </w:r>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（二）</w:t>
      </w:r>
      <w:r>
        <w:rPr>
          <w:rFonts w:hint="eastAsia" w:hAnsi="宋体" w:eastAsiaTheme="minorEastAsia"/>
          <w:color w:val="auto"/>
          <w:sz w:val="21"/>
          <w:szCs w:val="21"/>
          <w:highlight w:val="none"/>
          <w:lang w:eastAsia="zh-CN"/>
        </w:rPr>
        <w:t>响应文件</w:t>
      </w:r>
      <w:r>
        <w:rPr>
          <w:rFonts w:hint="eastAsia" w:asciiTheme="minorEastAsia" w:hAnsiTheme="minorEastAsia" w:eastAsiaTheme="minorEastAsia" w:cstheme="minorEastAsia"/>
          <w:color w:val="auto"/>
          <w:sz w:val="24"/>
          <w:szCs w:val="24"/>
          <w:highlight w:val="none"/>
          <w:lang w:val="zh-CN" w:eastAsia="zh-CN"/>
        </w:rPr>
        <w:t>递交时间：</w:t>
      </w:r>
      <w:r>
        <w:rPr>
          <w:rFonts w:hint="eastAsia" w:asciiTheme="minorEastAsia" w:hAnsiTheme="minorEastAsia" w:eastAsiaTheme="minorEastAsia" w:cstheme="minorEastAsia"/>
          <w:color w:val="auto"/>
          <w:sz w:val="24"/>
          <w:szCs w:val="24"/>
          <w:highlight w:val="none"/>
          <w:u w:val="single"/>
          <w:lang w:val="en-US" w:eastAsia="zh-CN"/>
        </w:rPr>
        <w:t>2023</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lang w:eastAsia="zh-CN"/>
        </w:rPr>
        <w:t>分至</w:t>
      </w:r>
      <w:r>
        <w:rPr>
          <w:rFonts w:hint="eastAsia" w:asciiTheme="minorEastAsia" w:hAnsiTheme="minorEastAsia" w:eastAsiaTheme="minorEastAsia" w:cstheme="minorEastAsia"/>
          <w:color w:val="auto"/>
          <w:sz w:val="24"/>
          <w:szCs w:val="24"/>
          <w:highlight w:val="none"/>
          <w:u w:val="single"/>
          <w:lang w:val="en-US" w:eastAsia="zh-CN"/>
        </w:rPr>
        <w:t>2023</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lang w:eastAsia="zh-CN"/>
        </w:rPr>
        <w:t>分（北京时间）。</w:t>
      </w:r>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（三）</w:t>
      </w:r>
      <w:r>
        <w:rPr>
          <w:rFonts w:hint="eastAsia" w:hAnsi="宋体" w:eastAsiaTheme="minorEastAsia"/>
          <w:color w:val="auto"/>
          <w:sz w:val="21"/>
          <w:szCs w:val="21"/>
          <w:highlight w:val="none"/>
          <w:lang w:eastAsia="zh-CN"/>
        </w:rPr>
        <w:t>响应文件</w:t>
      </w:r>
      <w:r>
        <w:rPr>
          <w:rFonts w:hint="eastAsia" w:asciiTheme="minorEastAsia" w:hAnsiTheme="minorEastAsia" w:eastAsiaTheme="minorEastAsia" w:cstheme="minorEastAsia"/>
          <w:color w:val="auto"/>
          <w:sz w:val="24"/>
          <w:szCs w:val="24"/>
          <w:highlight w:val="none"/>
          <w:lang w:val="zh-CN" w:eastAsia="zh-CN"/>
        </w:rPr>
        <w:t>递交截止时间及</w:t>
      </w:r>
      <w:r>
        <w:rPr>
          <w:rFonts w:hint="eastAsia" w:asciiTheme="minorEastAsia" w:hAnsiTheme="minorEastAsia" w:cstheme="minorEastAsia"/>
          <w:color w:val="auto"/>
          <w:sz w:val="24"/>
          <w:szCs w:val="24"/>
          <w:highlight w:val="none"/>
          <w:lang w:val="zh-CN" w:eastAsia="zh-CN"/>
        </w:rPr>
        <w:t>评审</w:t>
      </w:r>
      <w:r>
        <w:rPr>
          <w:rFonts w:hint="eastAsia" w:asciiTheme="minorEastAsia" w:hAnsiTheme="minorEastAsia" w:eastAsiaTheme="minorEastAsia" w:cstheme="minorEastAsia"/>
          <w:color w:val="auto"/>
          <w:sz w:val="24"/>
          <w:szCs w:val="24"/>
          <w:highlight w:val="none"/>
          <w:lang w:val="zh-CN" w:eastAsia="zh-CN"/>
        </w:rPr>
        <w:t>时间：</w:t>
      </w:r>
      <w:r>
        <w:rPr>
          <w:rFonts w:hint="eastAsia" w:asciiTheme="minorEastAsia" w:hAnsiTheme="minorEastAsia" w:eastAsiaTheme="minorEastAsia" w:cstheme="minorEastAsia"/>
          <w:color w:val="auto"/>
          <w:sz w:val="24"/>
          <w:szCs w:val="24"/>
          <w:highlight w:val="none"/>
          <w:u w:val="single"/>
          <w:lang w:val="en-US" w:eastAsia="zh-CN"/>
        </w:rPr>
        <w:t>2023</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u w:val="single"/>
          <w:lang w:val="en-US" w:eastAsia="zh-CN"/>
        </w:rPr>
        <w:t>9</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lang w:eastAsia="zh-CN"/>
        </w:rPr>
        <w:t>分（北京时间）。</w:t>
      </w:r>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zh-CN" w:eastAsia="zh-CN"/>
        </w:rPr>
        <w:t>（四）</w:t>
      </w:r>
      <w:r>
        <w:rPr>
          <w:rFonts w:hint="eastAsia" w:asciiTheme="minorEastAsia" w:hAnsiTheme="minorEastAsia" w:cstheme="minorEastAsia"/>
          <w:color w:val="auto"/>
          <w:sz w:val="24"/>
          <w:szCs w:val="24"/>
          <w:lang w:val="zh-CN" w:eastAsia="zh-CN"/>
        </w:rPr>
        <w:t>评审</w:t>
      </w:r>
      <w:r>
        <w:rPr>
          <w:rFonts w:hint="eastAsia" w:asciiTheme="minorEastAsia" w:hAnsiTheme="minorEastAsia" w:eastAsiaTheme="minorEastAsia" w:cstheme="minorEastAsia"/>
          <w:color w:val="auto"/>
          <w:sz w:val="24"/>
          <w:szCs w:val="24"/>
          <w:lang w:val="zh-CN" w:eastAsia="zh-CN"/>
        </w:rPr>
        <w:t>地点：</w:t>
      </w:r>
      <w:r>
        <w:rPr>
          <w:rFonts w:hint="eastAsia" w:asciiTheme="minorEastAsia" w:hAnsiTheme="minorEastAsia" w:eastAsiaTheme="minorEastAsia" w:cstheme="minorEastAsia"/>
          <w:color w:val="auto"/>
          <w:sz w:val="24"/>
          <w:szCs w:val="24"/>
          <w:lang w:eastAsia="zh-CN"/>
        </w:rPr>
        <w:t>南方医科大学第七附属医院全科医学楼四楼招标采购会议室413（佛山市南海区里水镇里官路得胜路段28号）。</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eastAsia="宋体" w:asciiTheme="minorEastAsia" w:hAnsiTheme="minorEastAsia" w:cstheme="minorEastAsia"/>
          <w:b/>
          <w:bCs/>
          <w:color w:val="auto"/>
          <w:sz w:val="24"/>
          <w:szCs w:val="24"/>
          <w:lang w:eastAsia="zh-CN"/>
        </w:rPr>
      </w:pPr>
      <w:bookmarkStart w:id="13" w:name="_Toc22400"/>
      <w:bookmarkStart w:id="14" w:name="_Toc27761"/>
      <w:r>
        <w:rPr>
          <w:rFonts w:hint="eastAsia" w:eastAsia="宋体" w:asciiTheme="minorEastAsia" w:hAnsiTheme="minorEastAsia" w:cstheme="minorEastAsia"/>
          <w:b/>
          <w:bCs/>
          <w:color w:val="auto"/>
          <w:sz w:val="24"/>
          <w:szCs w:val="24"/>
          <w:lang w:eastAsia="zh-CN"/>
        </w:rPr>
        <w:t>五、公告期限</w:t>
      </w:r>
      <w:bookmarkEnd w:id="13"/>
      <w:bookmarkEnd w:id="14"/>
    </w:p>
    <w:p>
      <w:pPr>
        <w:pageBreakBefore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自本公告发布之日起</w:t>
      </w:r>
      <w:r>
        <w:rPr>
          <w:rFonts w:hint="eastAsia" w:hAnsi="宋体" w:cs="宋体"/>
          <w:color w:val="auto"/>
          <w:sz w:val="24"/>
          <w:szCs w:val="24"/>
          <w:lang w:val="en-US" w:eastAsia="zh-CN"/>
        </w:rPr>
        <w:t>4</w:t>
      </w:r>
      <w:bookmarkStart w:id="92" w:name="_GoBack"/>
      <w:bookmarkEnd w:id="92"/>
      <w:r>
        <w:rPr>
          <w:rFonts w:hint="eastAsia" w:ascii="宋体" w:hAnsi="宋体" w:eastAsia="宋体" w:cs="宋体"/>
          <w:color w:val="auto"/>
          <w:sz w:val="24"/>
          <w:szCs w:val="24"/>
          <w:lang w:eastAsia="zh-CN"/>
        </w:rPr>
        <w:t>个工作日。</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eastAsia="宋体" w:asciiTheme="minorEastAsia" w:hAnsiTheme="minorEastAsia" w:cstheme="minorEastAsia"/>
          <w:b/>
          <w:bCs/>
          <w:color w:val="auto"/>
          <w:sz w:val="24"/>
          <w:szCs w:val="24"/>
          <w:lang w:eastAsia="zh-CN"/>
        </w:rPr>
      </w:pPr>
      <w:bookmarkStart w:id="15" w:name="_Toc11233"/>
      <w:bookmarkStart w:id="16" w:name="_Toc26431"/>
      <w:r>
        <w:rPr>
          <w:rFonts w:hint="eastAsia" w:eastAsia="宋体" w:asciiTheme="minorEastAsia" w:hAnsiTheme="minorEastAsia" w:cstheme="minorEastAsia"/>
          <w:b/>
          <w:bCs/>
          <w:color w:val="auto"/>
          <w:sz w:val="24"/>
          <w:szCs w:val="24"/>
          <w:lang w:eastAsia="zh-CN"/>
        </w:rPr>
        <w:t>六、其他补充事宜</w:t>
      </w:r>
      <w:bookmarkEnd w:id="15"/>
      <w:bookmarkEnd w:id="16"/>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（一）本项目谈判文件只在远东电子交易平台在线上获取，</w:t>
      </w:r>
      <w:r>
        <w:rPr>
          <w:rFonts w:hint="eastAsia" w:hAnsi="宋体" w:cs="宋体"/>
          <w:color w:val="auto"/>
          <w:sz w:val="24"/>
          <w:szCs w:val="24"/>
          <w:lang w:eastAsia="zh-CN"/>
        </w:rPr>
        <w:t>响应供应商</w:t>
      </w:r>
      <w:r>
        <w:rPr>
          <w:rFonts w:hint="eastAsia" w:ascii="宋体" w:hAnsi="宋体" w:eastAsia="宋体" w:cs="宋体"/>
          <w:color w:val="auto"/>
          <w:sz w:val="24"/>
          <w:szCs w:val="24"/>
          <w:lang w:eastAsia="zh-CN"/>
        </w:rPr>
        <w:t>在获取谈判文件之前，登录广东远东招标代理有限公司网站http://www.gdydzb.com或远东电子交易平台http://trade.gdydzb.com进行网上注册（已注册请忽略，直接登录进行报名与购标操作），具体流程操作见网站http://www.gdydzb.com“下载专区——投标人操作手册”或远东电子交易平台http://trade.gdydzb.com 登陆窗口下的“操作手册”。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符合资格的</w:t>
      </w:r>
      <w:r>
        <w:rPr>
          <w:rFonts w:hint="eastAsia" w:hAnsi="宋体" w:cs="宋体"/>
          <w:color w:val="auto"/>
          <w:sz w:val="24"/>
          <w:szCs w:val="24"/>
          <w:lang w:eastAsia="zh-CN"/>
        </w:rPr>
        <w:t>响应供应商</w:t>
      </w:r>
      <w:r>
        <w:rPr>
          <w:rFonts w:hint="eastAsia" w:ascii="宋体" w:hAnsi="宋体" w:eastAsia="宋体" w:cs="宋体"/>
          <w:color w:val="auto"/>
          <w:sz w:val="24"/>
          <w:szCs w:val="24"/>
          <w:lang w:eastAsia="zh-CN"/>
        </w:rPr>
        <w:t>在网上注册成功后方可报名与获取谈判文件，主要操作过程如下：</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注册：在远东电子交易平台(http://trade.gdydzb.com)完成注册（详细可查看《投标人操作手册》）；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选择项目：登录后，在“所有项目”中，搜索到需要参与的项目，点击“投标”；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报名参与：选择相应的标段/子包报名登记资料（请根据供应商资格提交相应的资料扫描件，如有多个请全部压缩成一个文件再上传），提交后请等待审核；</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获取谈判文件：在登记资料通过审核后，请在“标书购买”中选择“下载”。</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本项目对供应商的资格审查采用资格后审方式，已办理报名并成功购买谈判文件的供应商参加报价的，不代表通过资格性审查、符合性审查。其资格最终以其响应</w:t>
      </w:r>
      <w:r>
        <w:rPr>
          <w:rFonts w:hint="eastAsia" w:hAnsi="宋体" w:cs="宋体"/>
          <w:color w:val="auto"/>
          <w:sz w:val="24"/>
          <w:szCs w:val="24"/>
          <w:lang w:val="zh-CN" w:eastAsia="zh-CN"/>
        </w:rPr>
        <w:t>响应文件</w:t>
      </w:r>
      <w:r>
        <w:rPr>
          <w:rFonts w:hint="eastAsia" w:ascii="宋体" w:hAnsi="宋体" w:eastAsia="宋体" w:cs="宋体"/>
          <w:color w:val="auto"/>
          <w:sz w:val="24"/>
          <w:szCs w:val="24"/>
          <w:lang w:val="zh-CN" w:eastAsia="zh-CN"/>
        </w:rPr>
        <w:t>所附的资格文件经相关评审程序审核结论为准。本项目不接受其他方式的报名和获取谈判文件。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contextualSpacing/>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（二）本项目不举行集中答疑会，</w:t>
      </w:r>
      <w:r>
        <w:rPr>
          <w:rFonts w:hint="eastAsia" w:hAnsi="宋体" w:cs="宋体"/>
          <w:color w:val="auto"/>
          <w:sz w:val="24"/>
          <w:szCs w:val="24"/>
          <w:lang w:val="zh-CN" w:eastAsia="zh-CN"/>
        </w:rPr>
        <w:t>供应商</w:t>
      </w:r>
      <w:r>
        <w:rPr>
          <w:rFonts w:hint="eastAsia" w:ascii="宋体" w:hAnsi="宋体" w:eastAsia="宋体" w:cs="宋体"/>
          <w:color w:val="auto"/>
          <w:sz w:val="24"/>
          <w:szCs w:val="24"/>
          <w:lang w:val="zh-CN" w:eastAsia="zh-CN"/>
        </w:rPr>
        <w:t>如有疑问请以书面形式向采购代理机构咨询。</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hAnsi="宋体"/>
          <w:color w:val="auto"/>
          <w:sz w:val="21"/>
          <w:szCs w:val="21"/>
          <w:lang w:eastAsia="zh-CN"/>
        </w:rPr>
      </w:pPr>
      <w:bookmarkStart w:id="17" w:name="_Toc8094"/>
      <w:bookmarkStart w:id="18" w:name="_Toc26726"/>
      <w:r>
        <w:rPr>
          <w:rFonts w:hint="eastAsia" w:eastAsia="宋体" w:asciiTheme="minorEastAsia" w:hAnsiTheme="minorEastAsia" w:cstheme="minorEastAsia"/>
          <w:color w:val="auto"/>
          <w:sz w:val="24"/>
          <w:szCs w:val="24"/>
          <w:lang w:val="zh-CN" w:eastAsia="zh-CN"/>
        </w:rPr>
        <w:t>（三）质疑受理：</w:t>
      </w:r>
      <w:r>
        <w:rPr>
          <w:rFonts w:hint="eastAsia" w:cs="宋体"/>
          <w:color w:val="auto"/>
          <w:sz w:val="24"/>
          <w:szCs w:val="24"/>
          <w:lang w:eastAsia="zh-CN"/>
        </w:rPr>
        <w:t>响应供应商</w:t>
      </w:r>
      <w:r>
        <w:rPr>
          <w:rFonts w:hint="eastAsia" w:ascii="宋体" w:hAnsi="宋体" w:eastAsia="宋体" w:cs="宋体"/>
          <w:color w:val="auto"/>
          <w:sz w:val="24"/>
          <w:szCs w:val="24"/>
        </w:rPr>
        <w:t>如认为</w:t>
      </w:r>
      <w:r>
        <w:rPr>
          <w:rFonts w:hint="eastAsia" w:cs="宋体"/>
          <w:color w:val="auto"/>
          <w:sz w:val="24"/>
          <w:szCs w:val="24"/>
          <w:lang w:eastAsia="zh-CN"/>
        </w:rPr>
        <w:t>谈判文件</w:t>
      </w:r>
      <w:r>
        <w:rPr>
          <w:rFonts w:hint="eastAsia" w:ascii="宋体" w:hAnsi="宋体" w:eastAsia="宋体" w:cs="宋体"/>
          <w:color w:val="auto"/>
          <w:sz w:val="24"/>
          <w:szCs w:val="24"/>
        </w:rPr>
        <w:t>内容损害其权益的，可在公示期间或自期满之日起</w:t>
      </w:r>
      <w:r>
        <w:rPr>
          <w:rFonts w:hint="eastAsia" w:eastAsia="宋体" w:cs="宋体"/>
          <w:color w:val="auto"/>
          <w:sz w:val="24"/>
          <w:szCs w:val="24"/>
          <w:lang w:val="en-US" w:eastAsia="zh-CN"/>
        </w:rPr>
        <w:t>3</w:t>
      </w:r>
      <w:r>
        <w:rPr>
          <w:rFonts w:hint="eastAsia" w:ascii="宋体" w:hAnsi="宋体" w:eastAsia="宋体" w:cs="宋体"/>
          <w:color w:val="auto"/>
          <w:sz w:val="24"/>
          <w:szCs w:val="24"/>
        </w:rPr>
        <w:t>个工作日内，以书面形式（加盖单位公章的原件，其它形式无效）向采购代理机构提出质疑</w:t>
      </w: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rPr>
        <w:t>董先生</w:t>
      </w: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rPr>
        <w:t>020-83642820-8</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lang w:eastAsia="zh-CN"/>
        </w:rPr>
        <w:t>）。</w:t>
      </w:r>
      <w:bookmarkEnd w:id="17"/>
      <w:bookmarkEnd w:id="18"/>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eastAsia="宋体" w:asciiTheme="minorEastAsia" w:hAnsiTheme="minorEastAsia" w:cstheme="minorEastAsia"/>
          <w:b/>
          <w:bCs/>
          <w:color w:val="auto"/>
          <w:sz w:val="24"/>
          <w:szCs w:val="24"/>
          <w:lang w:val="zh-CN" w:eastAsia="zh-CN"/>
        </w:rPr>
      </w:pPr>
      <w:bookmarkStart w:id="19" w:name="_Toc27553"/>
      <w:bookmarkStart w:id="20" w:name="_Toc10758"/>
      <w:r>
        <w:rPr>
          <w:rFonts w:hint="eastAsia" w:eastAsia="宋体" w:asciiTheme="minorEastAsia" w:hAnsiTheme="minorEastAsia" w:cstheme="minorEastAsia"/>
          <w:b/>
          <w:bCs/>
          <w:color w:val="auto"/>
          <w:sz w:val="24"/>
          <w:szCs w:val="24"/>
          <w:lang w:val="zh-CN" w:eastAsia="zh-CN"/>
        </w:rPr>
        <w:t>七、项目联系人与联系方式</w:t>
      </w:r>
      <w:bookmarkEnd w:id="19"/>
      <w:bookmarkEnd w:id="20"/>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采购代理机构名称：</w:t>
      </w:r>
      <w:r>
        <w:rPr>
          <w:rFonts w:hint="eastAsia" w:ascii="宋体" w:hAnsi="宋体" w:eastAsia="宋体" w:cs="宋体"/>
          <w:color w:val="auto"/>
          <w:sz w:val="24"/>
          <w:szCs w:val="24"/>
          <w:lang w:eastAsia="zh-CN"/>
        </w:rPr>
        <w:t>广东远东招标代理有限公司</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 董先生</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电话：020-83642820-817  </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邮箱：</w:t>
      </w:r>
      <w:r>
        <w:rPr>
          <w:rFonts w:hint="eastAsia" w:ascii="宋体" w:hAnsi="宋体" w:eastAsia="宋体" w:cs="宋体"/>
          <w:color w:val="auto"/>
          <w:sz w:val="24"/>
          <w:szCs w:val="24"/>
          <w:lang w:val="en-US" w:eastAsia="zh-CN"/>
        </w:rPr>
        <w:t>335862279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qq</w:t>
      </w:r>
      <w:r>
        <w:rPr>
          <w:rFonts w:hint="eastAsia" w:ascii="宋体" w:hAnsi="宋体" w:eastAsia="宋体" w:cs="宋体"/>
          <w:color w:val="auto"/>
          <w:sz w:val="24"/>
          <w:szCs w:val="24"/>
        </w:rPr>
        <w:t>.com</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联系地址：广州市越秀北路222号越良大厦6楼</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lang w:eastAsia="zh-CN"/>
        </w:rPr>
        <w:t>南方医科大学第七附属医院</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余</w:t>
      </w:r>
      <w:r>
        <w:rPr>
          <w:rFonts w:hint="eastAsia" w:ascii="宋体" w:hAnsi="宋体" w:eastAsia="宋体" w:cs="宋体"/>
          <w:color w:val="auto"/>
          <w:sz w:val="24"/>
          <w:szCs w:val="24"/>
          <w:lang w:val="en-US" w:eastAsia="zh-CN"/>
        </w:rPr>
        <w:t>老师/卢老师</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w:t>
      </w:r>
      <w:r>
        <w:rPr>
          <w:rFonts w:hint="eastAsia" w:ascii="宋体" w:hAnsi="宋体" w:eastAsia="宋体" w:cs="宋体"/>
          <w:color w:val="auto"/>
          <w:sz w:val="24"/>
          <w:szCs w:val="24"/>
          <w:lang w:eastAsia="zh-CN"/>
        </w:rPr>
        <w:t>话：0757－85631665</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联系地址：佛山市南海区里水镇里官路得胜段28号</w:t>
      </w:r>
    </w:p>
    <w:p>
      <w:pPr>
        <w:pStyle w:val="85"/>
        <w:keepNext/>
        <w:keepLines/>
        <w:pageBreakBefore w:val="0"/>
        <w:widowControl/>
        <w:kinsoku/>
        <w:wordWrap/>
        <w:overflowPunct/>
        <w:topLinePunct w:val="0"/>
        <w:autoSpaceDE/>
        <w:autoSpaceDN/>
        <w:bidi w:val="0"/>
        <w:adjustRightInd/>
        <w:snapToGrid/>
        <w:spacing w:line="460" w:lineRule="exact"/>
        <w:ind w:firstLine="472" w:firstLineChars="200"/>
        <w:textAlignment w:val="auto"/>
        <w:outlineLvl w:val="9"/>
        <w:rPr>
          <w:rFonts w:hint="eastAsia" w:eastAsia="宋体" w:asciiTheme="minorEastAsia" w:hAnsiTheme="minorEastAsia" w:cstheme="minorEastAsia"/>
          <w:b/>
          <w:bCs/>
          <w:color w:val="auto"/>
          <w:sz w:val="24"/>
          <w:szCs w:val="24"/>
          <w:lang w:val="zh-CN" w:eastAsia="zh-CN"/>
        </w:rPr>
      </w:pPr>
      <w:bookmarkStart w:id="21" w:name="_Toc2190"/>
      <w:bookmarkStart w:id="22" w:name="_Toc25700"/>
      <w:r>
        <w:rPr>
          <w:rFonts w:hint="eastAsia" w:eastAsia="宋体" w:asciiTheme="minorEastAsia" w:hAnsiTheme="minorEastAsia" w:cstheme="minorEastAsia"/>
          <w:b/>
          <w:bCs/>
          <w:color w:val="auto"/>
          <w:sz w:val="24"/>
          <w:szCs w:val="24"/>
          <w:lang w:val="zh-CN" w:eastAsia="zh-CN"/>
        </w:rPr>
        <w:t>八、信息公告发布媒体</w:t>
      </w:r>
      <w:bookmarkEnd w:id="21"/>
      <w:bookmarkEnd w:id="22"/>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）南方医科大学第七附属医院（http://nyd7y.com）</w:t>
      </w:r>
    </w:p>
    <w:p>
      <w:pPr>
        <w:pageBreakBefore w:val="0"/>
        <w:widowControl/>
        <w:kinsoku/>
        <w:wordWrap/>
        <w:overflowPunct/>
        <w:topLinePunct w:val="0"/>
        <w:bidi w:val="0"/>
        <w:snapToGrid/>
        <w:spacing w:line="460" w:lineRule="exact"/>
        <w:ind w:firstLine="472" w:firstLineChars="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）广东远东招标代理有限公司网站（</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HYPERLINK "http://www.cfet.com.cn/"</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www.gdydzb.com/</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w:t>
      </w:r>
    </w:p>
    <w:p>
      <w:pPr>
        <w:pageBreakBefore w:val="0"/>
        <w:kinsoku/>
        <w:wordWrap/>
        <w:overflowPunct/>
        <w:topLinePunct w:val="0"/>
        <w:bidi w:val="0"/>
        <w:snapToGrid/>
        <w:spacing w:line="460" w:lineRule="exact"/>
        <w:ind w:firstLine="472"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3"/>
        <w:rPr>
          <w:rFonts w:hint="eastAsia"/>
        </w:rPr>
      </w:pPr>
    </w:p>
    <w:p>
      <w:pPr>
        <w:pageBreakBefore w:val="0"/>
        <w:widowControl/>
        <w:kinsoku/>
        <w:wordWrap/>
        <w:overflowPunct/>
        <w:topLinePunct w:val="0"/>
        <w:bidi w:val="0"/>
        <w:snapToGrid/>
        <w:spacing w:line="460" w:lineRule="exact"/>
        <w:ind w:firstLine="5192" w:firstLineChars="2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南方医科大学第七附属医院 </w:t>
      </w:r>
    </w:p>
    <w:p>
      <w:pPr>
        <w:pageBreakBefore w:val="0"/>
        <w:widowControl/>
        <w:kinsoku/>
        <w:wordWrap/>
        <w:overflowPunct/>
        <w:topLinePunct w:val="0"/>
        <w:bidi w:val="0"/>
        <w:snapToGrid/>
        <w:spacing w:line="460" w:lineRule="exact"/>
        <w:ind w:firstLine="5192" w:firstLineChars="22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广东远东招标代理有限公司</w:t>
      </w:r>
    </w:p>
    <w:p>
      <w:pPr>
        <w:pageBreakBefore w:val="0"/>
        <w:widowControl/>
        <w:kinsoku/>
        <w:wordWrap/>
        <w:overflowPunct/>
        <w:topLinePunct w:val="0"/>
        <w:bidi w:val="0"/>
        <w:snapToGrid/>
        <w:spacing w:line="460" w:lineRule="exact"/>
        <w:ind w:firstLine="6136" w:firstLineChars="2600"/>
        <w:contextualSpacing/>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2023年</w:t>
      </w:r>
      <w:r>
        <w:rPr>
          <w:rFonts w:hint="eastAsia" w:hAnsi="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hAnsi="宋体" w:cs="宋体"/>
          <w:color w:val="auto"/>
          <w:sz w:val="24"/>
          <w:szCs w:val="24"/>
          <w:lang w:val="en-US" w:eastAsia="zh-CN"/>
        </w:rPr>
        <w:t>7</w:t>
      </w:r>
      <w:r>
        <w:rPr>
          <w:rFonts w:hint="eastAsia" w:ascii="宋体" w:hAnsi="宋体" w:eastAsia="宋体" w:cs="宋体"/>
          <w:color w:val="auto"/>
          <w:sz w:val="24"/>
          <w:szCs w:val="24"/>
          <w:lang w:eastAsia="zh-CN"/>
        </w:rPr>
        <w:t>日</w:t>
      </w:r>
    </w:p>
    <w:p>
      <w:pPr>
        <w:rPr>
          <w:rFonts w:hint="eastAsia" w:ascii="宋体" w:hAnsi="宋体" w:eastAsia="宋体" w:cs="Times New Roman"/>
          <w:b/>
          <w:bCs/>
          <w:color w:val="auto"/>
          <w:kern w:val="44"/>
          <w:sz w:val="32"/>
          <w:szCs w:val="32"/>
          <w:lang w:val="zh-CN"/>
        </w:rPr>
      </w:pPr>
      <w:bookmarkStart w:id="23" w:name="_Toc382840838"/>
      <w:bookmarkStart w:id="24" w:name="_Toc382926889"/>
      <w:r>
        <w:rPr>
          <w:rFonts w:hint="eastAsia" w:ascii="宋体" w:hAnsi="宋体" w:eastAsia="宋体" w:cs="Times New Roman"/>
          <w:b/>
          <w:bCs/>
          <w:color w:val="auto"/>
          <w:kern w:val="44"/>
          <w:sz w:val="32"/>
          <w:szCs w:val="32"/>
          <w:lang w:val="zh-CN"/>
        </w:rPr>
        <w:br w:type="page"/>
      </w:r>
    </w:p>
    <w:p>
      <w:pPr>
        <w:keepNext/>
        <w:keepLines/>
        <w:pageBreakBefore/>
        <w:widowControl w:val="0"/>
        <w:tabs>
          <w:tab w:val="left" w:pos="1080"/>
        </w:tabs>
        <w:kinsoku/>
        <w:wordWrap/>
        <w:overflowPunct/>
        <w:topLinePunct w:val="0"/>
        <w:autoSpaceDE w:val="0"/>
        <w:autoSpaceDN w:val="0"/>
        <w:bidi w:val="0"/>
        <w:adjustRightInd w:val="0"/>
        <w:snapToGrid/>
        <w:spacing w:line="460" w:lineRule="exact"/>
        <w:ind w:left="0" w:firstLine="632" w:firstLineChars="200"/>
        <w:jc w:val="center"/>
        <w:textAlignment w:val="auto"/>
        <w:outlineLvl w:val="0"/>
        <w:rPr>
          <w:rFonts w:hAnsi="宋体"/>
          <w:b/>
          <w:bCs/>
          <w:color w:val="auto"/>
          <w:kern w:val="44"/>
          <w:sz w:val="32"/>
          <w:szCs w:val="32"/>
          <w:lang w:val="zh-CN"/>
        </w:rPr>
      </w:pPr>
      <w:bookmarkStart w:id="25" w:name="_Toc28456"/>
      <w:r>
        <w:rPr>
          <w:rFonts w:hint="eastAsia" w:ascii="宋体" w:hAnsi="宋体" w:eastAsia="宋体" w:cs="Times New Roman"/>
          <w:b/>
          <w:bCs/>
          <w:color w:val="auto"/>
          <w:kern w:val="44"/>
          <w:sz w:val="32"/>
          <w:szCs w:val="32"/>
          <w:lang w:val="zh-CN"/>
        </w:rPr>
        <w:br w:type="textWrapping"/>
      </w:r>
      <w:r>
        <w:rPr>
          <w:rFonts w:hint="eastAsia" w:ascii="宋体" w:hAnsi="宋体" w:eastAsia="宋体" w:cs="Times New Roman"/>
          <w:b/>
          <w:bCs/>
          <w:color w:val="auto"/>
          <w:kern w:val="44"/>
          <w:sz w:val="32"/>
          <w:szCs w:val="32"/>
          <w:lang w:val="zh-CN"/>
        </w:rPr>
        <w:t>第二篇</w:t>
      </w:r>
      <w:r>
        <w:rPr>
          <w:rFonts w:hint="eastAsia" w:ascii="宋体" w:hAnsi="宋体" w:eastAsia="宋体" w:cs="Times New Roman"/>
          <w:b/>
          <w:bCs/>
          <w:color w:val="auto"/>
          <w:kern w:val="44"/>
          <w:sz w:val="32"/>
          <w:szCs w:val="32"/>
          <w:lang w:val="zh-CN"/>
        </w:rPr>
        <w:tab/>
      </w:r>
      <w:r>
        <w:rPr>
          <w:rFonts w:hint="eastAsia" w:hAnsi="宋体" w:cs="Times New Roman"/>
          <w:b/>
          <w:bCs/>
          <w:color w:val="auto"/>
          <w:kern w:val="44"/>
          <w:sz w:val="32"/>
          <w:szCs w:val="32"/>
          <w:lang w:val="zh-CN"/>
        </w:rPr>
        <w:t>响应供应商</w:t>
      </w:r>
      <w:r>
        <w:rPr>
          <w:rFonts w:hint="eastAsia" w:ascii="宋体" w:hAnsi="宋体" w:eastAsia="宋体" w:cs="Times New Roman"/>
          <w:b/>
          <w:bCs/>
          <w:color w:val="auto"/>
          <w:kern w:val="44"/>
          <w:sz w:val="32"/>
          <w:szCs w:val="32"/>
          <w:lang w:val="zh-CN"/>
        </w:rPr>
        <w:t>须知</w:t>
      </w:r>
      <w:bookmarkEnd w:id="23"/>
      <w:bookmarkEnd w:id="24"/>
      <w:bookmarkEnd w:id="25"/>
    </w:p>
    <w:p>
      <w:pPr>
        <w:keepNext/>
        <w:keepLines/>
        <w:tabs>
          <w:tab w:val="left" w:pos="1134"/>
        </w:tabs>
        <w:kinsoku/>
        <w:overflowPunct/>
        <w:topLinePunct w:val="0"/>
        <w:bidi w:val="0"/>
        <w:spacing w:line="360" w:lineRule="auto"/>
        <w:ind w:left="1134" w:hanging="567"/>
        <w:jc w:val="center"/>
        <w:outlineLvl w:val="9"/>
        <w:rPr>
          <w:rFonts w:hAnsi="宋体"/>
          <w:b/>
          <w:bCs/>
          <w:color w:val="auto"/>
          <w:kern w:val="44"/>
          <w:lang w:val="zh-CN"/>
        </w:rPr>
      </w:pPr>
      <w:bookmarkStart w:id="26" w:name="_Toc382926890"/>
      <w:bookmarkStart w:id="27" w:name="_Toc382840839"/>
      <w:r>
        <w:rPr>
          <w:rFonts w:hint="eastAsia" w:hAnsi="宋体"/>
          <w:b/>
          <w:bCs/>
          <w:color w:val="auto"/>
          <w:kern w:val="44"/>
          <w:lang w:val="zh-CN"/>
        </w:rPr>
        <w:t>一、报价须知前附表</w:t>
      </w:r>
      <w:bookmarkEnd w:id="26"/>
      <w:bookmarkEnd w:id="27"/>
    </w:p>
    <w:tbl>
      <w:tblPr>
        <w:tblStyle w:val="21"/>
        <w:tblW w:w="994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116"/>
        <w:gridCol w:w="71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blHeader/>
          <w:jc w:val="center"/>
        </w:trPr>
        <w:tc>
          <w:tcPr>
            <w:tcW w:w="699" w:type="dxa"/>
            <w:tcBorders>
              <w:top w:val="doub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Ansi="宋体"/>
                <w:color w:val="auto"/>
                <w:sz w:val="21"/>
                <w:szCs w:val="21"/>
              </w:rPr>
            </w:pPr>
            <w:r>
              <w:rPr>
                <w:rFonts w:hint="eastAsia" w:hAnsi="宋体"/>
                <w:color w:val="auto"/>
                <w:sz w:val="21"/>
                <w:szCs w:val="21"/>
              </w:rPr>
              <w:t>项目</w:t>
            </w:r>
          </w:p>
        </w:tc>
        <w:tc>
          <w:tcPr>
            <w:tcW w:w="2116" w:type="dxa"/>
            <w:tcBorders>
              <w:top w:val="doub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Ansi="宋体"/>
                <w:color w:val="auto"/>
                <w:sz w:val="21"/>
                <w:szCs w:val="21"/>
              </w:rPr>
            </w:pPr>
            <w:r>
              <w:rPr>
                <w:rFonts w:hint="eastAsia" w:hAnsi="宋体"/>
                <w:color w:val="auto"/>
                <w:sz w:val="21"/>
                <w:szCs w:val="21"/>
              </w:rPr>
              <w:t>内容</w:t>
            </w:r>
          </w:p>
        </w:tc>
        <w:tc>
          <w:tcPr>
            <w:tcW w:w="7126" w:type="dxa"/>
            <w:tcBorders>
              <w:top w:val="doub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jc w:val="center"/>
              <w:outlineLvl w:val="9"/>
              <w:rPr>
                <w:rFonts w:hAnsi="宋体"/>
                <w:color w:val="auto"/>
                <w:sz w:val="21"/>
                <w:szCs w:val="21"/>
              </w:rPr>
            </w:pPr>
            <w:r>
              <w:rPr>
                <w:rFonts w:hint="eastAsia" w:hAnsi="宋体"/>
                <w:color w:val="auto"/>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Ansi="宋体"/>
                <w:color w:val="auto"/>
                <w:sz w:val="21"/>
                <w:szCs w:val="21"/>
              </w:rPr>
            </w:pPr>
            <w:r>
              <w:rPr>
                <w:rFonts w:hint="eastAsia" w:hAnsi="宋体"/>
                <w:color w:val="auto"/>
                <w:sz w:val="21"/>
                <w:szCs w:val="21"/>
              </w:rPr>
              <w:t>1</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rPr>
              <w:t>资金来源</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lang w:val="zh-CN"/>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699" w:type="dxa"/>
            <w:vMerge w:val="restart"/>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sz w:val="21"/>
                <w:szCs w:val="21"/>
                <w:lang w:val="en-US" w:eastAsia="zh-CN"/>
              </w:rPr>
              <w:t>2</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int="eastAsia" w:hAnsi="宋体" w:eastAsia="宋体"/>
                <w:color w:val="auto"/>
                <w:sz w:val="21"/>
                <w:szCs w:val="21"/>
                <w:lang w:eastAsia="zh-CN"/>
              </w:rPr>
            </w:pPr>
            <w:r>
              <w:rPr>
                <w:rFonts w:hint="eastAsia" w:hAnsi="宋体"/>
                <w:color w:val="auto"/>
                <w:sz w:val="21"/>
                <w:szCs w:val="21"/>
                <w:lang w:eastAsia="zh-CN"/>
              </w:rPr>
              <w:t>合格的响应供应商</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u w:val="single"/>
              </w:rPr>
            </w:pPr>
            <w:r>
              <w:rPr>
                <w:rFonts w:hint="eastAsia" w:hAnsi="宋体"/>
                <w:color w:val="auto"/>
                <w:sz w:val="21"/>
                <w:szCs w:val="21"/>
                <w:lang w:val="zh-CN"/>
              </w:rPr>
              <w:t>具体要求见本谈判文件第一篇第二点“合格的响应供应商”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699" w:type="dxa"/>
            <w:vMerge w:val="continue"/>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rPr>
              <w:t>关于联合体</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lang w:val="zh-CN"/>
              </w:rPr>
            </w:pPr>
            <w:r>
              <w:rPr>
                <w:rFonts w:hint="eastAsia" w:ascii="宋体" w:hAnsi="宋体" w:eastAsia="宋体" w:cs="Times New Roman"/>
                <w:color w:val="auto"/>
                <w:sz w:val="21"/>
                <w:szCs w:val="21"/>
                <w:lang w:val="zh-CN"/>
              </w:rPr>
              <w:t>本项目不允许联合体报价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699" w:type="dxa"/>
            <w:vMerge w:val="continue"/>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ind w:left="125"/>
              <w:outlineLvl w:val="9"/>
              <w:rPr>
                <w:rFonts w:hAnsi="宋体"/>
                <w:color w:val="auto"/>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kern w:val="2"/>
                <w:sz w:val="21"/>
                <w:szCs w:val="21"/>
                <w:lang w:val="zh-CN"/>
              </w:rPr>
              <w:t>响应供应商必须满足条件</w:t>
            </w:r>
          </w:p>
        </w:tc>
        <w:tc>
          <w:tcPr>
            <w:tcW w:w="7126" w:type="dxa"/>
            <w:tcBorders>
              <w:top w:val="single" w:color="auto" w:sz="4" w:space="0"/>
              <w:left w:val="single" w:color="auto" w:sz="4" w:space="0"/>
              <w:bottom w:val="single" w:color="auto" w:sz="4" w:space="0"/>
              <w:right w:val="double" w:color="auto" w:sz="4" w:space="0"/>
            </w:tcBorders>
            <w:vAlign w:val="center"/>
          </w:tcPr>
          <w:p>
            <w:pPr>
              <w:keepLines/>
              <w:tabs>
                <w:tab w:val="left" w:pos="567"/>
                <w:tab w:val="left" w:pos="720"/>
                <w:tab w:val="left" w:pos="3460"/>
              </w:tabs>
              <w:kinsoku/>
              <w:overflowPunct/>
              <w:topLinePunct w:val="0"/>
              <w:bidi w:val="0"/>
              <w:spacing w:line="320" w:lineRule="exact"/>
              <w:ind w:left="567" w:hanging="567"/>
              <w:jc w:val="both"/>
              <w:outlineLvl w:val="9"/>
              <w:rPr>
                <w:rFonts w:hAnsi="宋体"/>
                <w:color w:val="auto"/>
                <w:kern w:val="2"/>
                <w:sz w:val="21"/>
                <w:szCs w:val="21"/>
                <w:lang w:val="zh-CN"/>
              </w:rPr>
            </w:pPr>
            <w:r>
              <w:rPr>
                <w:rFonts w:hint="eastAsia" w:hAnsi="宋体"/>
                <w:color w:val="auto"/>
                <w:kern w:val="2"/>
                <w:sz w:val="21"/>
                <w:szCs w:val="21"/>
                <w:lang w:val="zh-CN"/>
              </w:rPr>
              <w:t>见第三篇用户需求书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sz w:val="21"/>
                <w:szCs w:val="21"/>
                <w:lang w:val="en-US" w:eastAsia="zh-CN"/>
              </w:rPr>
              <w:t>3</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rPr>
              <w:t>踏勘现场</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color w:val="auto"/>
                <w:sz w:val="21"/>
                <w:szCs w:val="21"/>
              </w:rPr>
            </w:pPr>
            <w:r>
              <w:rPr>
                <w:rFonts w:hint="eastAsia"/>
                <w:color w:val="auto"/>
                <w:sz w:val="21"/>
                <w:szCs w:val="21"/>
              </w:rPr>
              <w:t>采购人不集中组织，由</w:t>
            </w:r>
            <w:r>
              <w:rPr>
                <w:rFonts w:hint="eastAsia"/>
                <w:color w:val="auto"/>
                <w:sz w:val="21"/>
                <w:szCs w:val="21"/>
                <w:lang w:eastAsia="zh-CN"/>
              </w:rPr>
              <w:t>响应供应商</w:t>
            </w:r>
            <w:r>
              <w:rPr>
                <w:rFonts w:hint="eastAsia"/>
                <w:color w:val="auto"/>
                <w:sz w:val="21"/>
                <w:szCs w:val="21"/>
              </w:rPr>
              <w:t>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ind w:left="125"/>
              <w:outlineLvl w:val="9"/>
              <w:rPr>
                <w:rFonts w:hint="eastAsia" w:hAnsi="宋体" w:eastAsia="宋体"/>
                <w:color w:val="auto"/>
                <w:sz w:val="21"/>
                <w:szCs w:val="21"/>
                <w:lang w:eastAsia="zh-CN"/>
              </w:rPr>
            </w:pPr>
            <w:r>
              <w:rPr>
                <w:rFonts w:hint="eastAsia" w:hAnsi="宋体"/>
                <w:color w:val="auto"/>
                <w:sz w:val="21"/>
                <w:szCs w:val="21"/>
                <w:lang w:val="en-US" w:eastAsia="zh-CN"/>
              </w:rPr>
              <w:t>4</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kern w:val="2"/>
                <w:sz w:val="21"/>
                <w:szCs w:val="21"/>
                <w:lang w:val="zh-CN"/>
              </w:rPr>
              <w:t>谈判文件的澄清</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rPr>
              <w:t>1.采购人不统一组织答疑会</w:t>
            </w:r>
          </w:p>
          <w:p>
            <w:pPr>
              <w:keepLines/>
              <w:kinsoku/>
              <w:overflowPunct/>
              <w:topLinePunct w:val="0"/>
              <w:bidi w:val="0"/>
              <w:spacing w:line="320" w:lineRule="exact"/>
              <w:outlineLvl w:val="9"/>
              <w:rPr>
                <w:rFonts w:hAnsi="宋体"/>
                <w:color w:val="auto"/>
                <w:sz w:val="21"/>
                <w:szCs w:val="21"/>
              </w:rPr>
            </w:pPr>
            <w:r>
              <w:rPr>
                <w:rFonts w:hAnsi="宋体"/>
                <w:color w:val="auto"/>
                <w:sz w:val="21"/>
                <w:szCs w:val="21"/>
              </w:rPr>
              <w:t>2</w:t>
            </w:r>
            <w:r>
              <w:rPr>
                <w:rFonts w:hint="eastAsia" w:hAnsi="宋体"/>
                <w:color w:val="auto"/>
                <w:sz w:val="21"/>
                <w:szCs w:val="21"/>
              </w:rPr>
              <w:t>.采购人澄清、修补或答疑期限：在报价截止日期前</w:t>
            </w:r>
            <w:r>
              <w:rPr>
                <w:rFonts w:hint="eastAsia" w:hAnsi="宋体"/>
                <w:color w:val="auto"/>
                <w:sz w:val="21"/>
                <w:szCs w:val="21"/>
                <w:u w:val="single"/>
              </w:rPr>
              <w:t xml:space="preserve"> 3 </w:t>
            </w:r>
            <w:r>
              <w:rPr>
                <w:rFonts w:hint="eastAsia" w:hAnsi="宋体"/>
                <w:color w:val="auto"/>
                <w:sz w:val="21"/>
                <w:szCs w:val="21"/>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sz w:val="21"/>
                <w:szCs w:val="21"/>
                <w:lang w:val="en-US" w:eastAsia="zh-CN"/>
              </w:rPr>
              <w:t>5</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int="eastAsia" w:hAnsi="宋体" w:eastAsia="宋体"/>
                <w:color w:val="auto"/>
                <w:sz w:val="21"/>
                <w:szCs w:val="21"/>
                <w:lang w:eastAsia="zh-CN"/>
              </w:rPr>
            </w:pPr>
            <w:r>
              <w:rPr>
                <w:rFonts w:hint="eastAsia" w:hAnsi="宋体"/>
                <w:color w:val="auto"/>
                <w:sz w:val="21"/>
                <w:szCs w:val="21"/>
                <w:lang w:eastAsia="zh-CN"/>
              </w:rPr>
              <w:t>响应文件</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adjustRightInd/>
              <w:spacing w:line="320" w:lineRule="exact"/>
              <w:ind w:left="210" w:hanging="206" w:hangingChars="100"/>
              <w:jc w:val="both"/>
              <w:outlineLvl w:val="9"/>
              <w:rPr>
                <w:rFonts w:hAnsi="宋体"/>
                <w:color w:val="auto"/>
                <w:sz w:val="21"/>
                <w:szCs w:val="21"/>
              </w:rPr>
            </w:pPr>
            <w:r>
              <w:rPr>
                <w:rFonts w:hint="eastAsia" w:hAnsi="宋体"/>
                <w:color w:val="auto"/>
                <w:sz w:val="21"/>
                <w:szCs w:val="21"/>
              </w:rPr>
              <w:t>1.</w:t>
            </w:r>
            <w:r>
              <w:rPr>
                <w:rFonts w:hint="eastAsia" w:hAnsi="宋体"/>
                <w:color w:val="auto"/>
                <w:sz w:val="21"/>
                <w:szCs w:val="21"/>
                <w:lang w:eastAsia="zh-CN"/>
              </w:rPr>
              <w:t>响应文件</w:t>
            </w:r>
            <w:r>
              <w:rPr>
                <w:rFonts w:hint="eastAsia" w:hAnsi="宋体"/>
                <w:color w:val="auto"/>
                <w:sz w:val="21"/>
                <w:szCs w:val="21"/>
              </w:rPr>
              <w:t>由自查表、商务技术文件、经济文件</w:t>
            </w:r>
            <w:r>
              <w:rPr>
                <w:rFonts w:hint="eastAsia" w:hAnsi="宋体"/>
                <w:color w:val="auto"/>
                <w:kern w:val="2"/>
                <w:sz w:val="21"/>
                <w:szCs w:val="21"/>
                <w:lang w:val="zh-CN"/>
              </w:rPr>
              <w:t>三部分</w:t>
            </w:r>
            <w:r>
              <w:rPr>
                <w:rFonts w:hint="eastAsia" w:hAnsi="宋体"/>
                <w:color w:val="auto"/>
                <w:sz w:val="21"/>
                <w:szCs w:val="21"/>
              </w:rPr>
              <w:t>组成，合编成一本</w:t>
            </w:r>
            <w:r>
              <w:rPr>
                <w:rFonts w:hint="eastAsia" w:hAnsi="宋体"/>
                <w:color w:val="auto"/>
                <w:sz w:val="21"/>
                <w:szCs w:val="21"/>
                <w:lang w:eastAsia="zh-CN"/>
              </w:rPr>
              <w:t>响应文件</w:t>
            </w:r>
            <w:r>
              <w:rPr>
                <w:rFonts w:hint="eastAsia" w:hAnsi="宋体"/>
                <w:color w:val="auto"/>
                <w:sz w:val="21"/>
                <w:szCs w:val="21"/>
              </w:rPr>
              <w:t>。</w:t>
            </w:r>
            <w:r>
              <w:rPr>
                <w:rFonts w:hint="eastAsia" w:hAnsi="宋体"/>
                <w:color w:val="auto"/>
                <w:sz w:val="21"/>
                <w:szCs w:val="21"/>
                <w:lang w:eastAsia="zh-CN"/>
              </w:rPr>
              <w:t>响应文件</w:t>
            </w:r>
            <w:r>
              <w:rPr>
                <w:rFonts w:hint="eastAsia" w:hAnsi="宋体"/>
                <w:color w:val="auto"/>
                <w:sz w:val="21"/>
                <w:szCs w:val="21"/>
              </w:rPr>
              <w:t>一式</w:t>
            </w:r>
            <w:r>
              <w:rPr>
                <w:rFonts w:hint="eastAsia" w:hAnsi="宋体"/>
                <w:color w:val="auto"/>
                <w:sz w:val="21"/>
                <w:szCs w:val="21"/>
                <w:lang w:val="en-US" w:eastAsia="zh-CN"/>
              </w:rPr>
              <w:t>六</w:t>
            </w:r>
            <w:r>
              <w:rPr>
                <w:rFonts w:hint="eastAsia" w:hAnsi="宋体"/>
                <w:color w:val="auto"/>
                <w:sz w:val="21"/>
                <w:szCs w:val="21"/>
              </w:rPr>
              <w:t>份，其中，一份正本，</w:t>
            </w:r>
            <w:r>
              <w:rPr>
                <w:rFonts w:hint="eastAsia" w:hAnsi="宋体"/>
                <w:color w:val="auto"/>
                <w:sz w:val="21"/>
                <w:szCs w:val="21"/>
                <w:lang w:val="en-US" w:eastAsia="zh-CN"/>
              </w:rPr>
              <w:t>五</w:t>
            </w:r>
            <w:r>
              <w:rPr>
                <w:rFonts w:hint="eastAsia" w:hAnsi="宋体"/>
                <w:color w:val="auto"/>
                <w:sz w:val="21"/>
                <w:szCs w:val="21"/>
              </w:rPr>
              <w:t>份副本；</w:t>
            </w:r>
          </w:p>
          <w:p>
            <w:pPr>
              <w:keepLines/>
              <w:kinsoku/>
              <w:overflowPunct/>
              <w:topLinePunct w:val="0"/>
              <w:bidi w:val="0"/>
              <w:adjustRightInd/>
              <w:spacing w:line="320" w:lineRule="exact"/>
              <w:jc w:val="both"/>
              <w:outlineLvl w:val="9"/>
              <w:rPr>
                <w:rFonts w:hAnsi="宋体"/>
                <w:color w:val="auto"/>
                <w:sz w:val="21"/>
                <w:szCs w:val="21"/>
              </w:rPr>
            </w:pPr>
            <w:r>
              <w:rPr>
                <w:rFonts w:hint="eastAsia" w:hAnsi="宋体"/>
                <w:color w:val="auto"/>
                <w:sz w:val="21"/>
                <w:szCs w:val="21"/>
              </w:rPr>
              <w:t>2.唱标信封一份；</w:t>
            </w:r>
          </w:p>
          <w:p>
            <w:pPr>
              <w:keepLines/>
              <w:kinsoku/>
              <w:overflowPunct/>
              <w:topLinePunct w:val="0"/>
              <w:bidi w:val="0"/>
              <w:adjustRightInd/>
              <w:spacing w:line="320" w:lineRule="exact"/>
              <w:jc w:val="both"/>
              <w:outlineLvl w:val="9"/>
              <w:rPr>
                <w:rFonts w:hAnsi="宋体"/>
                <w:color w:val="auto"/>
                <w:sz w:val="21"/>
                <w:szCs w:val="21"/>
              </w:rPr>
            </w:pPr>
            <w:r>
              <w:rPr>
                <w:rFonts w:hint="eastAsia" w:hAnsi="宋体"/>
                <w:color w:val="auto"/>
                <w:sz w:val="21"/>
                <w:szCs w:val="21"/>
              </w:rPr>
              <w:t>3.电子文件一份。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699" w:type="dxa"/>
            <w:vMerge w:val="restart"/>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sz w:val="21"/>
                <w:szCs w:val="21"/>
                <w:lang w:val="en-US" w:eastAsia="zh-CN"/>
              </w:rPr>
              <w:t>6</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rPr>
              <w:t>报价</w:t>
            </w:r>
          </w:p>
        </w:tc>
        <w:tc>
          <w:tcPr>
            <w:tcW w:w="7126" w:type="dxa"/>
            <w:tcBorders>
              <w:top w:val="single" w:color="auto" w:sz="4" w:space="0"/>
              <w:left w:val="single" w:color="auto" w:sz="4" w:space="0"/>
              <w:bottom w:val="single" w:color="auto" w:sz="4" w:space="0"/>
              <w:right w:val="double" w:color="auto" w:sz="4" w:space="0"/>
            </w:tcBorders>
            <w:vAlign w:val="center"/>
          </w:tcPr>
          <w:p>
            <w:pPr>
              <w:kinsoku/>
              <w:overflowPunct/>
              <w:topLinePunct w:val="0"/>
              <w:bidi w:val="0"/>
              <w:spacing w:line="320" w:lineRule="exact"/>
              <w:outlineLvl w:val="9"/>
              <w:rPr>
                <w:rFonts w:hint="eastAsia" w:hAnsi="宋体" w:eastAsia="宋体"/>
                <w:color w:val="auto"/>
                <w:sz w:val="21"/>
                <w:szCs w:val="21"/>
                <w:lang w:val="zh-CN" w:eastAsia="zh-CN"/>
              </w:rPr>
            </w:pPr>
            <w:r>
              <w:rPr>
                <w:rFonts w:hint="eastAsia" w:hAnsi="宋体"/>
                <w:color w:val="auto"/>
                <w:sz w:val="21"/>
                <w:szCs w:val="21"/>
              </w:rPr>
              <w:t>本采购项目最高报价限价为：</w:t>
            </w:r>
            <w:r>
              <w:rPr>
                <w:rFonts w:hint="eastAsia" w:hAnsi="宋体"/>
                <w:color w:val="auto"/>
                <w:sz w:val="21"/>
                <w:szCs w:val="21"/>
                <w:lang w:val="en-US" w:eastAsia="zh-CN"/>
              </w:rPr>
              <w:t>30</w:t>
            </w:r>
            <w:r>
              <w:rPr>
                <w:rFonts w:hint="eastAsia" w:hAnsi="宋体"/>
                <w:color w:val="auto"/>
                <w:sz w:val="21"/>
                <w:szCs w:val="21"/>
              </w:rPr>
              <w:t>万元</w:t>
            </w:r>
            <w:r>
              <w:rPr>
                <w:rFonts w:hint="eastAsia" w:hAnsi="宋体"/>
                <w:color w:val="auto"/>
                <w:sz w:val="21"/>
                <w:szCs w:val="21"/>
                <w:lang w:eastAsia="zh-CN"/>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699" w:type="dxa"/>
            <w:vMerge w:val="continue"/>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Ansi="宋体"/>
                <w:color w:val="auto"/>
                <w:sz w:val="21"/>
                <w:szCs w:val="21"/>
              </w:rPr>
            </w:pP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bCs/>
                <w:color w:val="auto"/>
                <w:sz w:val="21"/>
                <w:szCs w:val="21"/>
                <w:lang w:val="zh-CN"/>
              </w:rPr>
              <w:t>报价其他文件</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adjustRightInd/>
              <w:spacing w:line="320" w:lineRule="exact"/>
              <w:jc w:val="both"/>
              <w:outlineLvl w:val="9"/>
              <w:rPr>
                <w:rFonts w:hAnsi="宋体"/>
                <w:color w:val="auto"/>
                <w:sz w:val="21"/>
                <w:szCs w:val="21"/>
              </w:rPr>
            </w:pPr>
            <w:r>
              <w:rPr>
                <w:rFonts w:hint="eastAsia" w:hAnsi="宋体"/>
                <w:color w:val="auto"/>
                <w:sz w:val="21"/>
                <w:szCs w:val="21"/>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kern w:val="2"/>
                <w:sz w:val="21"/>
                <w:szCs w:val="21"/>
                <w:lang w:val="en-US" w:eastAsia="zh-CN"/>
              </w:rPr>
              <w:t>7</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kern w:val="2"/>
                <w:sz w:val="21"/>
                <w:szCs w:val="21"/>
                <w:lang w:val="zh-CN"/>
              </w:rPr>
              <w:t>证明响应供应商的合格性的证明文件</w:t>
            </w:r>
          </w:p>
        </w:tc>
        <w:tc>
          <w:tcPr>
            <w:tcW w:w="7126" w:type="dxa"/>
            <w:tcBorders>
              <w:top w:val="single" w:color="auto" w:sz="4" w:space="0"/>
              <w:left w:val="single" w:color="auto" w:sz="4" w:space="0"/>
              <w:bottom w:val="single" w:color="auto" w:sz="4" w:space="0"/>
              <w:right w:val="double" w:color="auto" w:sz="4" w:space="0"/>
            </w:tcBorders>
            <w:vAlign w:val="center"/>
          </w:tcPr>
          <w:p>
            <w:pPr>
              <w:kinsoku/>
              <w:overflowPunct/>
              <w:topLinePunct w:val="0"/>
              <w:bidi w:val="0"/>
              <w:spacing w:line="320" w:lineRule="exact"/>
              <w:outlineLvl w:val="9"/>
              <w:rPr>
                <w:rFonts w:hAnsi="宋体"/>
                <w:color w:val="auto"/>
                <w:sz w:val="21"/>
                <w:szCs w:val="21"/>
              </w:rPr>
            </w:pPr>
            <w:r>
              <w:rPr>
                <w:rFonts w:hint="eastAsia" w:hAnsi="宋体"/>
                <w:bCs/>
                <w:color w:val="auto"/>
                <w:sz w:val="21"/>
                <w:szCs w:val="21"/>
              </w:rPr>
              <w:t>根据</w:t>
            </w:r>
            <w:r>
              <w:rPr>
                <w:rFonts w:hint="eastAsia" w:hAnsi="宋体"/>
                <w:bCs/>
                <w:color w:val="auto"/>
                <w:sz w:val="21"/>
                <w:szCs w:val="21"/>
                <w:lang w:eastAsia="zh-CN"/>
              </w:rPr>
              <w:t>响应文件</w:t>
            </w:r>
            <w:r>
              <w:rPr>
                <w:rFonts w:hint="eastAsia" w:hAnsi="宋体"/>
                <w:bCs/>
                <w:color w:val="auto"/>
                <w:sz w:val="21"/>
                <w:szCs w:val="21"/>
              </w:rPr>
              <w:t>第一篇</w:t>
            </w:r>
            <w:r>
              <w:rPr>
                <w:rFonts w:hint="eastAsia" w:hAnsi="宋体"/>
                <w:bCs/>
                <w:color w:val="auto"/>
                <w:sz w:val="21"/>
                <w:szCs w:val="21"/>
                <w:lang w:eastAsia="zh-CN"/>
              </w:rPr>
              <w:t>谈判邀请</w:t>
            </w:r>
            <w:r>
              <w:rPr>
                <w:rFonts w:hint="eastAsia" w:hAnsi="宋体"/>
                <w:bCs/>
                <w:color w:val="auto"/>
                <w:sz w:val="21"/>
                <w:szCs w:val="21"/>
              </w:rPr>
              <w:t>书第</w:t>
            </w:r>
            <w:r>
              <w:rPr>
                <w:rFonts w:hint="eastAsia" w:hAnsi="宋体"/>
                <w:bCs/>
                <w:color w:val="auto"/>
                <w:sz w:val="21"/>
                <w:szCs w:val="21"/>
                <w:lang w:eastAsia="zh-CN"/>
              </w:rPr>
              <w:t>二</w:t>
            </w:r>
            <w:r>
              <w:rPr>
                <w:rFonts w:hint="eastAsia" w:hAnsi="宋体"/>
                <w:bCs/>
                <w:color w:val="auto"/>
                <w:sz w:val="21"/>
                <w:szCs w:val="21"/>
              </w:rPr>
              <w:t>点要求提供。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sz w:val="21"/>
                <w:szCs w:val="21"/>
                <w:lang w:val="en-US" w:eastAsia="zh-CN"/>
              </w:rPr>
              <w:t>8</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int="eastAsia" w:hAnsi="宋体" w:eastAsia="宋体"/>
                <w:color w:val="auto"/>
                <w:sz w:val="21"/>
                <w:szCs w:val="21"/>
                <w:lang w:eastAsia="zh-CN"/>
              </w:rPr>
            </w:pPr>
            <w:r>
              <w:rPr>
                <w:rFonts w:hint="eastAsia" w:hAnsi="宋体"/>
                <w:color w:val="auto"/>
                <w:sz w:val="21"/>
                <w:szCs w:val="21"/>
                <w:lang w:eastAsia="zh-CN"/>
              </w:rPr>
              <w:t>响应保证金</w:t>
            </w:r>
          </w:p>
        </w:tc>
        <w:tc>
          <w:tcPr>
            <w:tcW w:w="7126" w:type="dxa"/>
            <w:tcBorders>
              <w:top w:val="single" w:color="auto" w:sz="4" w:space="0"/>
              <w:left w:val="single" w:color="auto" w:sz="4" w:space="0"/>
              <w:bottom w:val="single" w:color="auto" w:sz="4" w:space="0"/>
              <w:right w:val="double" w:color="auto" w:sz="4" w:space="0"/>
            </w:tcBorders>
            <w:vAlign w:val="center"/>
          </w:tcPr>
          <w:p>
            <w:pPr>
              <w:kinsoku/>
              <w:overflowPunct/>
              <w:topLinePunct w:val="0"/>
              <w:bidi w:val="0"/>
              <w:adjustRightInd/>
              <w:spacing w:line="320" w:lineRule="exact"/>
              <w:jc w:val="both"/>
              <w:outlineLvl w:val="9"/>
              <w:rPr>
                <w:rFonts w:hAnsi="宋体"/>
                <w:bCs/>
                <w:color w:val="auto"/>
                <w:sz w:val="21"/>
                <w:szCs w:val="21"/>
                <w:lang w:val="zh-CN"/>
              </w:rPr>
            </w:pPr>
            <w:r>
              <w:rPr>
                <w:rFonts w:hint="eastAsia" w:hAnsi="宋体"/>
                <w:bCs/>
                <w:color w:val="auto"/>
                <w:sz w:val="21"/>
                <w:szCs w:val="21"/>
              </w:rPr>
              <w:t>本项目不</w:t>
            </w:r>
            <w:r>
              <w:rPr>
                <w:rFonts w:hint="eastAsia" w:hAnsi="宋体"/>
                <w:bCs/>
                <w:color w:val="auto"/>
                <w:sz w:val="21"/>
                <w:szCs w:val="21"/>
                <w:lang w:eastAsia="zh-CN"/>
              </w:rPr>
              <w:t>收取响应保证金</w:t>
            </w:r>
            <w:r>
              <w:rPr>
                <w:rFonts w:hint="eastAsia" w:hAnsi="宋体"/>
                <w:bCs/>
                <w:color w:val="auto"/>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eastAsia" w:hAnsi="宋体" w:eastAsia="宋体"/>
                <w:color w:val="auto"/>
                <w:sz w:val="21"/>
                <w:szCs w:val="21"/>
                <w:lang w:eastAsia="zh-CN"/>
              </w:rPr>
            </w:pPr>
            <w:r>
              <w:rPr>
                <w:rFonts w:hint="eastAsia" w:hAnsi="宋体"/>
                <w:color w:val="auto"/>
                <w:sz w:val="21"/>
                <w:szCs w:val="21"/>
                <w:lang w:val="en-US" w:eastAsia="zh-CN"/>
              </w:rPr>
              <w:t>9</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kern w:val="2"/>
                <w:sz w:val="21"/>
                <w:szCs w:val="21"/>
                <w:lang w:val="zh-CN"/>
              </w:rPr>
              <w:t>响应有效期</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adjustRightInd/>
              <w:spacing w:line="320" w:lineRule="exact"/>
              <w:jc w:val="both"/>
              <w:outlineLvl w:val="9"/>
              <w:rPr>
                <w:rFonts w:hAnsi="宋体"/>
                <w:bCs/>
                <w:color w:val="auto"/>
                <w:sz w:val="21"/>
                <w:szCs w:val="21"/>
              </w:rPr>
            </w:pPr>
            <w:r>
              <w:rPr>
                <w:rFonts w:hint="eastAsia" w:hAnsi="宋体"/>
                <w:bCs/>
                <w:color w:val="auto"/>
                <w:kern w:val="2"/>
                <w:sz w:val="21"/>
                <w:szCs w:val="21"/>
                <w:lang w:val="zh-CN"/>
              </w:rPr>
              <w:t>递交响应文件截止日后</w:t>
            </w:r>
            <w:r>
              <w:rPr>
                <w:rFonts w:hAnsi="宋体"/>
                <w:bCs/>
                <w:color w:val="auto"/>
                <w:kern w:val="2"/>
                <w:sz w:val="21"/>
                <w:szCs w:val="21"/>
                <w:lang w:val="zh-CN"/>
              </w:rPr>
              <w:t>90</w:t>
            </w:r>
            <w:r>
              <w:rPr>
                <w:rFonts w:hint="eastAsia" w:hAnsi="宋体"/>
                <w:bCs/>
                <w:color w:val="auto"/>
                <w:kern w:val="2"/>
                <w:sz w:val="21"/>
                <w:szCs w:val="21"/>
                <w:lang w:val="zh-CN"/>
              </w:rPr>
              <w:t>天内有效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10</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kern w:val="2"/>
                <w:sz w:val="21"/>
                <w:szCs w:val="21"/>
                <w:lang w:val="zh-CN"/>
              </w:rPr>
            </w:pPr>
            <w:r>
              <w:rPr>
                <w:rFonts w:hint="eastAsia" w:hAnsi="宋体"/>
                <w:color w:val="auto"/>
                <w:kern w:val="2"/>
                <w:sz w:val="21"/>
                <w:szCs w:val="21"/>
                <w:lang w:val="zh-CN"/>
              </w:rPr>
              <w:t>响应文件份数</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adjustRightInd/>
              <w:spacing w:line="320" w:lineRule="exact"/>
              <w:jc w:val="both"/>
              <w:outlineLvl w:val="9"/>
              <w:rPr>
                <w:rFonts w:hAnsi="宋体"/>
                <w:color w:val="auto"/>
                <w:sz w:val="21"/>
                <w:szCs w:val="21"/>
              </w:rPr>
            </w:pPr>
            <w:r>
              <w:rPr>
                <w:rFonts w:hint="eastAsia" w:hAnsi="宋体"/>
                <w:color w:val="auto"/>
                <w:sz w:val="21"/>
                <w:szCs w:val="21"/>
                <w:lang w:eastAsia="zh-CN"/>
              </w:rPr>
              <w:t>响应文件</w:t>
            </w:r>
            <w:r>
              <w:rPr>
                <w:rFonts w:hint="eastAsia" w:hAnsi="宋体"/>
                <w:color w:val="auto"/>
                <w:sz w:val="21"/>
                <w:szCs w:val="21"/>
              </w:rPr>
              <w:t>密封包封为1包（内含</w:t>
            </w:r>
            <w:r>
              <w:rPr>
                <w:rFonts w:hint="eastAsia" w:hAnsi="宋体"/>
                <w:color w:val="auto"/>
                <w:sz w:val="21"/>
                <w:szCs w:val="21"/>
                <w:lang w:eastAsia="zh-CN"/>
              </w:rPr>
              <w:t>响应文件</w:t>
            </w:r>
            <w:r>
              <w:rPr>
                <w:rFonts w:hint="eastAsia" w:hAnsi="宋体"/>
                <w:color w:val="auto"/>
                <w:sz w:val="21"/>
                <w:szCs w:val="21"/>
              </w:rPr>
              <w:t>正本</w:t>
            </w:r>
            <w:r>
              <w:rPr>
                <w:rFonts w:hint="eastAsia" w:hAnsi="宋体"/>
                <w:color w:val="auto"/>
                <w:sz w:val="21"/>
                <w:szCs w:val="21"/>
                <w:u w:val="single"/>
              </w:rPr>
              <w:t>1</w:t>
            </w:r>
            <w:r>
              <w:rPr>
                <w:rFonts w:hint="eastAsia" w:hAnsi="宋体"/>
                <w:color w:val="auto"/>
                <w:sz w:val="21"/>
                <w:szCs w:val="21"/>
              </w:rPr>
              <w:t>份，副本</w:t>
            </w:r>
            <w:r>
              <w:rPr>
                <w:rFonts w:hint="eastAsia" w:hAnsi="宋体"/>
                <w:color w:val="auto"/>
                <w:sz w:val="21"/>
                <w:szCs w:val="21"/>
                <w:lang w:val="en-US" w:eastAsia="zh-CN"/>
              </w:rPr>
              <w:t>5</w:t>
            </w:r>
            <w:r>
              <w:rPr>
                <w:rFonts w:hint="eastAsia" w:hAnsi="宋体"/>
                <w:color w:val="auto"/>
                <w:sz w:val="21"/>
                <w:szCs w:val="21"/>
              </w:rPr>
              <w:t>份）</w:t>
            </w:r>
          </w:p>
          <w:p>
            <w:pPr>
              <w:keepLines/>
              <w:kinsoku/>
              <w:overflowPunct/>
              <w:topLinePunct w:val="0"/>
              <w:bidi w:val="0"/>
              <w:adjustRightInd/>
              <w:spacing w:line="320" w:lineRule="exact"/>
              <w:jc w:val="both"/>
              <w:outlineLvl w:val="9"/>
              <w:rPr>
                <w:rFonts w:hAnsi="宋体"/>
                <w:bCs/>
                <w:color w:val="auto"/>
                <w:kern w:val="2"/>
                <w:sz w:val="21"/>
                <w:szCs w:val="21"/>
                <w:lang w:val="zh-CN"/>
              </w:rPr>
            </w:pPr>
            <w:r>
              <w:rPr>
                <w:rFonts w:hint="eastAsia" w:hAnsi="宋体"/>
                <w:color w:val="auto"/>
                <w:sz w:val="21"/>
                <w:szCs w:val="21"/>
              </w:rPr>
              <w:t>唱标信封密封包封为1包（内含唱标信封</w:t>
            </w:r>
            <w:r>
              <w:rPr>
                <w:rFonts w:hint="eastAsia" w:hAnsi="宋体"/>
                <w:color w:val="auto"/>
                <w:sz w:val="21"/>
                <w:szCs w:val="21"/>
                <w:u w:val="single"/>
              </w:rPr>
              <w:t>1</w:t>
            </w:r>
            <w:r>
              <w:rPr>
                <w:rFonts w:hint="eastAsia" w:hAnsi="宋体"/>
                <w:color w:val="auto"/>
                <w:sz w:val="21"/>
                <w:szCs w:val="21"/>
              </w:rPr>
              <w:t>份，</w:t>
            </w:r>
            <w:r>
              <w:rPr>
                <w:rFonts w:hint="eastAsia" w:hAnsi="宋体"/>
                <w:color w:val="auto"/>
                <w:sz w:val="21"/>
                <w:szCs w:val="21"/>
                <w:lang w:eastAsia="zh-CN"/>
              </w:rPr>
              <w:t>响应文件</w:t>
            </w:r>
            <w:r>
              <w:rPr>
                <w:rFonts w:hint="eastAsia" w:hAnsi="宋体"/>
                <w:color w:val="auto"/>
                <w:sz w:val="21"/>
                <w:szCs w:val="21"/>
              </w:rPr>
              <w:t>电子文件</w:t>
            </w:r>
            <w:r>
              <w:rPr>
                <w:rFonts w:hint="eastAsia" w:hAnsi="宋体"/>
                <w:color w:val="auto"/>
                <w:sz w:val="21"/>
                <w:szCs w:val="21"/>
                <w:u w:val="single"/>
              </w:rPr>
              <w:t>1</w:t>
            </w:r>
            <w:r>
              <w:rPr>
                <w:rFonts w:hint="eastAsia" w:hAnsi="宋体"/>
                <w:color w:val="auto"/>
                <w:sz w:val="21"/>
                <w:szCs w:val="21"/>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11</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kern w:val="2"/>
                <w:sz w:val="21"/>
                <w:szCs w:val="21"/>
                <w:lang w:val="zh-CN"/>
              </w:rPr>
            </w:pPr>
            <w:r>
              <w:rPr>
                <w:rFonts w:hint="eastAsia" w:hAnsi="宋体"/>
                <w:bCs/>
                <w:color w:val="auto"/>
                <w:sz w:val="21"/>
                <w:szCs w:val="21"/>
                <w:lang w:eastAsia="zh-CN"/>
              </w:rPr>
              <w:t>响应文件</w:t>
            </w:r>
            <w:r>
              <w:rPr>
                <w:rFonts w:hint="eastAsia" w:hAnsi="宋体"/>
                <w:bCs/>
                <w:color w:val="auto"/>
                <w:sz w:val="21"/>
                <w:szCs w:val="21"/>
              </w:rPr>
              <w:t>的递交、接收</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adjustRightInd/>
              <w:spacing w:line="320" w:lineRule="exact"/>
              <w:jc w:val="both"/>
              <w:outlineLvl w:val="9"/>
              <w:rPr>
                <w:rFonts w:hAnsi="宋体"/>
                <w:color w:val="auto"/>
                <w:sz w:val="21"/>
                <w:szCs w:val="21"/>
              </w:rPr>
            </w:pPr>
            <w:r>
              <w:rPr>
                <w:rFonts w:hint="eastAsia" w:hAnsi="宋体"/>
                <w:color w:val="auto"/>
                <w:sz w:val="21"/>
                <w:szCs w:val="21"/>
              </w:rPr>
              <w:t>详见</w:t>
            </w:r>
            <w:r>
              <w:rPr>
                <w:rFonts w:hint="eastAsia" w:hAnsi="宋体"/>
                <w:color w:val="auto"/>
                <w:sz w:val="21"/>
                <w:szCs w:val="21"/>
                <w:lang w:eastAsia="zh-CN"/>
              </w:rPr>
              <w:t>谈判邀请</w:t>
            </w:r>
            <w:r>
              <w:rPr>
                <w:rFonts w:hint="eastAsia" w:hAnsi="宋体"/>
                <w:color w:val="auto"/>
                <w:sz w:val="21"/>
                <w:szCs w:val="21"/>
              </w:rPr>
              <w:t>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12</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bCs/>
                <w:color w:val="auto"/>
                <w:sz w:val="21"/>
                <w:szCs w:val="21"/>
                <w:highlight w:val="none"/>
              </w:rPr>
            </w:pPr>
            <w:r>
              <w:rPr>
                <w:rFonts w:hint="eastAsia" w:hAnsi="宋体"/>
                <w:bCs/>
                <w:color w:val="auto"/>
                <w:sz w:val="21"/>
                <w:szCs w:val="21"/>
                <w:highlight w:val="none"/>
              </w:rPr>
              <w:t>谈判小组</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highlight w:val="none"/>
              </w:rPr>
            </w:pPr>
            <w:r>
              <w:rPr>
                <w:rFonts w:hint="eastAsia" w:hAnsi="宋体"/>
                <w:color w:val="auto"/>
                <w:sz w:val="21"/>
                <w:szCs w:val="21"/>
                <w:highlight w:val="none"/>
              </w:rPr>
              <w:t>谈判小组成员共</w:t>
            </w:r>
            <w:r>
              <w:rPr>
                <w:rFonts w:hint="eastAsia" w:hAnsi="宋体"/>
                <w:color w:val="auto"/>
                <w:sz w:val="21"/>
                <w:szCs w:val="21"/>
                <w:highlight w:val="none"/>
                <w:u w:val="single"/>
                <w:lang w:val="en-US" w:eastAsia="zh-CN"/>
              </w:rPr>
              <w:t>5</w:t>
            </w:r>
            <w:r>
              <w:rPr>
                <w:rFonts w:hint="eastAsia" w:hAnsi="宋体"/>
                <w:color w:val="auto"/>
                <w:sz w:val="21"/>
                <w:szCs w:val="21"/>
                <w:highlight w:val="none"/>
              </w:rPr>
              <w:t>人</w:t>
            </w:r>
            <w:r>
              <w:rPr>
                <w:rFonts w:hint="eastAsia" w:hAnsi="宋体"/>
                <w:color w:val="auto"/>
                <w:sz w:val="21"/>
                <w:szCs w:val="21"/>
                <w:highlight w:val="none"/>
                <w:lang w:eastAsia="zh-CN"/>
              </w:rPr>
              <w:t>，</w:t>
            </w:r>
            <w:r>
              <w:rPr>
                <w:rFonts w:hint="eastAsia" w:hAnsi="宋体"/>
                <w:color w:val="auto"/>
                <w:kern w:val="2"/>
                <w:sz w:val="21"/>
                <w:szCs w:val="21"/>
                <w:highlight w:val="none"/>
                <w:lang w:val="zh-CN"/>
              </w:rPr>
              <w:t>由</w:t>
            </w:r>
            <w:r>
              <w:rPr>
                <w:rFonts w:hint="eastAsia" w:hAnsi="宋体"/>
                <w:color w:val="auto"/>
                <w:sz w:val="21"/>
                <w:szCs w:val="21"/>
                <w:highlight w:val="none"/>
              </w:rPr>
              <w:t>采购</w:t>
            </w:r>
            <w:r>
              <w:rPr>
                <w:rFonts w:hint="eastAsia" w:hAnsi="宋体"/>
                <w:color w:val="auto"/>
                <w:sz w:val="21"/>
                <w:szCs w:val="21"/>
                <w:highlight w:val="none"/>
                <w:lang w:eastAsia="zh-CN"/>
              </w:rPr>
              <w:t>人根据有关规定产生</w:t>
            </w:r>
            <w:r>
              <w:rPr>
                <w:rFonts w:hint="eastAsia"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13</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bCs/>
                <w:color w:val="auto"/>
                <w:sz w:val="21"/>
                <w:szCs w:val="21"/>
              </w:rPr>
            </w:pPr>
            <w:r>
              <w:rPr>
                <w:rFonts w:hint="eastAsia" w:hAnsi="宋体"/>
                <w:bCs/>
                <w:color w:val="auto"/>
                <w:sz w:val="21"/>
                <w:szCs w:val="21"/>
              </w:rPr>
              <w:t>评审方法</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bCs/>
                <w:color w:val="auto"/>
                <w:sz w:val="21"/>
                <w:szCs w:val="21"/>
              </w:rPr>
            </w:pPr>
            <w:r>
              <w:rPr>
                <w:rFonts w:hint="eastAsia" w:hAnsi="宋体"/>
                <w:bCs/>
                <w:color w:val="auto"/>
                <w:sz w:val="21"/>
                <w:szCs w:val="21"/>
              </w:rPr>
              <w:t>本次评审采取经评审的最低评标价法的评审方法。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14</w:t>
            </w:r>
          </w:p>
        </w:tc>
        <w:tc>
          <w:tcPr>
            <w:tcW w:w="2116" w:type="dxa"/>
            <w:tcBorders>
              <w:top w:val="single" w:color="auto" w:sz="4" w:space="0"/>
              <w:left w:val="single" w:color="auto" w:sz="4" w:space="0"/>
              <w:bottom w:val="single" w:color="auto" w:sz="4" w:space="0"/>
              <w:right w:val="single" w:color="auto" w:sz="4" w:space="0"/>
            </w:tcBorders>
            <w:vAlign w:val="center"/>
          </w:tcPr>
          <w:p>
            <w:pPr>
              <w:kinsoku/>
              <w:overflowPunct/>
              <w:topLinePunct w:val="0"/>
              <w:bidi w:val="0"/>
              <w:spacing w:line="320" w:lineRule="exact"/>
              <w:outlineLvl w:val="9"/>
              <w:rPr>
                <w:rFonts w:hAnsi="宋体"/>
                <w:bCs/>
                <w:color w:val="auto"/>
                <w:sz w:val="21"/>
                <w:szCs w:val="21"/>
              </w:rPr>
            </w:pPr>
            <w:r>
              <w:rPr>
                <w:rFonts w:hint="eastAsia" w:hAnsi="宋体"/>
                <w:bCs/>
                <w:color w:val="auto"/>
                <w:sz w:val="21"/>
                <w:szCs w:val="21"/>
              </w:rPr>
              <w:t>信息发布媒体</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adjustRightInd/>
              <w:spacing w:line="320" w:lineRule="exact"/>
              <w:jc w:val="both"/>
              <w:outlineLvl w:val="9"/>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lang w:eastAsia="zh-CN"/>
              </w:rPr>
              <w:t>南方医科大学第七附属医院（http://nyd7y.com）</w:t>
            </w:r>
          </w:p>
          <w:p>
            <w:pPr>
              <w:keepLines/>
              <w:kinsoku/>
              <w:overflowPunct/>
              <w:topLinePunct w:val="0"/>
              <w:bidi w:val="0"/>
              <w:adjustRightInd/>
              <w:spacing w:line="320" w:lineRule="exact"/>
              <w:jc w:val="both"/>
              <w:outlineLvl w:val="9"/>
              <w:rPr>
                <w:rFonts w:hAnsi="宋体"/>
                <w:bCs/>
                <w:color w:val="auto"/>
                <w:sz w:val="21"/>
                <w:szCs w:val="21"/>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lang w:eastAsia="zh-CN"/>
              </w:rPr>
              <w:t>广东远东招标代理有限公司网站（</w:t>
            </w:r>
            <w:r>
              <w:rPr>
                <w:rFonts w:hint="eastAsia" w:ascii="宋体" w:hAnsi="宋体" w:eastAsia="宋体" w:cs="Times New Roman"/>
                <w:color w:val="auto"/>
                <w:sz w:val="21"/>
                <w:szCs w:val="21"/>
                <w:lang w:eastAsia="zh-CN"/>
              </w:rPr>
              <w:fldChar w:fldCharType="begin"/>
            </w:r>
            <w:r>
              <w:rPr>
                <w:rFonts w:hint="eastAsia" w:ascii="宋体" w:hAnsi="宋体" w:eastAsia="宋体" w:cs="Times New Roman"/>
                <w:color w:val="auto"/>
                <w:sz w:val="21"/>
                <w:szCs w:val="21"/>
                <w:lang w:eastAsia="zh-CN"/>
              </w:rPr>
              <w:instrText xml:space="preserve">HYPERLINK "http://www.cfet.com.cn/"</w:instrText>
            </w:r>
            <w:r>
              <w:rPr>
                <w:rFonts w:hint="eastAsia" w:ascii="宋体" w:hAnsi="宋体" w:eastAsia="宋体" w:cs="Times New Roman"/>
                <w:color w:val="auto"/>
                <w:sz w:val="21"/>
                <w:szCs w:val="21"/>
                <w:lang w:eastAsia="zh-CN"/>
              </w:rPr>
              <w:fldChar w:fldCharType="separate"/>
            </w:r>
            <w:r>
              <w:rPr>
                <w:rFonts w:hint="eastAsia" w:ascii="宋体" w:hAnsi="宋体" w:eastAsia="宋体" w:cs="Times New Roman"/>
                <w:color w:val="auto"/>
                <w:sz w:val="21"/>
                <w:szCs w:val="21"/>
                <w:lang w:eastAsia="zh-CN"/>
              </w:rPr>
              <w:t>www.gdydzb.com/</w:t>
            </w:r>
            <w:r>
              <w:rPr>
                <w:rFonts w:hint="eastAsia" w:ascii="宋体" w:hAnsi="宋体" w:eastAsia="宋体" w:cs="Times New Roman"/>
                <w:color w:val="auto"/>
                <w:sz w:val="21"/>
                <w:szCs w:val="21"/>
                <w:lang w:eastAsia="zh-CN"/>
              </w:rPr>
              <w:fldChar w:fldCharType="end"/>
            </w:r>
            <w:r>
              <w:rPr>
                <w:rFonts w:hint="eastAsia" w:ascii="宋体" w:hAnsi="宋体" w:eastAsia="宋体" w:cs="Times New Roman"/>
                <w:color w:val="auto"/>
                <w:sz w:val="21"/>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15</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bCs/>
                <w:color w:val="auto"/>
                <w:sz w:val="21"/>
                <w:szCs w:val="21"/>
              </w:rPr>
              <w:t>采购人在授予合同时变更采购货物（或</w:t>
            </w:r>
            <w:r>
              <w:rPr>
                <w:rFonts w:hint="eastAsia" w:hAnsi="宋体"/>
                <w:color w:val="auto"/>
                <w:kern w:val="2"/>
                <w:sz w:val="21"/>
                <w:szCs w:val="21"/>
                <w:lang w:val="zh-CN"/>
              </w:rPr>
              <w:t>服务）</w:t>
            </w:r>
            <w:r>
              <w:rPr>
                <w:rFonts w:hint="eastAsia" w:hAnsi="宋体"/>
                <w:bCs/>
                <w:color w:val="auto"/>
                <w:sz w:val="21"/>
                <w:szCs w:val="21"/>
              </w:rPr>
              <w:t>权利</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bCs/>
                <w:color w:val="auto"/>
                <w:sz w:val="21"/>
                <w:szCs w:val="21"/>
              </w:rPr>
              <w:t>变更</w:t>
            </w:r>
            <w:r>
              <w:rPr>
                <w:rFonts w:hint="eastAsia" w:hAnsi="宋体"/>
                <w:color w:val="auto"/>
                <w:kern w:val="2"/>
                <w:sz w:val="21"/>
                <w:szCs w:val="21"/>
                <w:lang w:val="zh-CN"/>
              </w:rPr>
              <w:t>金额</w:t>
            </w:r>
            <w:r>
              <w:rPr>
                <w:rFonts w:hint="eastAsia" w:hAnsi="宋体"/>
                <w:bCs/>
                <w:color w:val="auto"/>
                <w:sz w:val="21"/>
                <w:szCs w:val="21"/>
              </w:rPr>
              <w:t>允许范围为±10%内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16</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bCs/>
                <w:color w:val="auto"/>
                <w:sz w:val="21"/>
                <w:szCs w:val="21"/>
              </w:rPr>
            </w:pPr>
            <w:r>
              <w:rPr>
                <w:rFonts w:hint="eastAsia" w:hAnsi="宋体"/>
                <w:bCs/>
                <w:color w:val="auto"/>
                <w:sz w:val="21"/>
                <w:szCs w:val="21"/>
              </w:rPr>
              <w:t>履约保证金</w:t>
            </w:r>
          </w:p>
        </w:tc>
        <w:tc>
          <w:tcPr>
            <w:tcW w:w="7126" w:type="dxa"/>
            <w:tcBorders>
              <w:top w:val="single" w:color="auto" w:sz="4" w:space="0"/>
              <w:left w:val="single" w:color="auto" w:sz="4" w:space="0"/>
              <w:bottom w:val="single" w:color="auto" w:sz="4" w:space="0"/>
              <w:right w:val="double" w:color="auto" w:sz="4" w:space="0"/>
            </w:tcBorders>
            <w:vAlign w:val="center"/>
          </w:tcPr>
          <w:p>
            <w:pPr>
              <w:keepLines/>
              <w:kinsoku/>
              <w:overflowPunct/>
              <w:topLinePunct w:val="0"/>
              <w:bidi w:val="0"/>
              <w:spacing w:line="320" w:lineRule="exact"/>
              <w:outlineLvl w:val="9"/>
              <w:rPr>
                <w:rFonts w:hAnsi="宋体"/>
                <w:color w:val="auto"/>
                <w:sz w:val="21"/>
                <w:szCs w:val="21"/>
              </w:rPr>
            </w:pPr>
            <w:r>
              <w:rPr>
                <w:rFonts w:hint="eastAsia" w:hAnsi="宋体"/>
                <w:color w:val="auto"/>
                <w:sz w:val="21"/>
                <w:szCs w:val="21"/>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5"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keepLines/>
              <w:kinsoku/>
              <w:overflowPunct/>
              <w:topLinePunct w:val="0"/>
              <w:bidi w:val="0"/>
              <w:spacing w:line="320" w:lineRule="exact"/>
              <w:jc w:val="center"/>
              <w:outlineLvl w:val="9"/>
              <w:rPr>
                <w:rFonts w:hint="default" w:hAnsi="宋体" w:eastAsia="宋体"/>
                <w:color w:val="auto"/>
                <w:sz w:val="21"/>
                <w:szCs w:val="21"/>
                <w:lang w:val="en-US" w:eastAsia="zh-CN"/>
              </w:rPr>
            </w:pPr>
            <w:r>
              <w:rPr>
                <w:rFonts w:hint="eastAsia" w:hAnsi="宋体"/>
                <w:color w:val="auto"/>
                <w:sz w:val="21"/>
                <w:szCs w:val="21"/>
                <w:lang w:val="en-US" w:eastAsia="zh-CN"/>
              </w:rPr>
              <w:t>17</w:t>
            </w:r>
          </w:p>
        </w:tc>
        <w:tc>
          <w:tcPr>
            <w:tcW w:w="2116" w:type="dxa"/>
            <w:tcBorders>
              <w:top w:val="single" w:color="auto" w:sz="4" w:space="0"/>
              <w:left w:val="single" w:color="auto" w:sz="4" w:space="0"/>
              <w:bottom w:val="single" w:color="auto" w:sz="4" w:space="0"/>
              <w:right w:val="single" w:color="auto" w:sz="4" w:space="0"/>
            </w:tcBorders>
            <w:vAlign w:val="center"/>
          </w:tcPr>
          <w:p>
            <w:pPr>
              <w:keepLines/>
              <w:kinsoku/>
              <w:overflowPunct/>
              <w:topLinePunct w:val="0"/>
              <w:bidi w:val="0"/>
              <w:spacing w:line="320" w:lineRule="exact"/>
              <w:outlineLvl w:val="9"/>
              <w:rPr>
                <w:rFonts w:hAnsi="宋体"/>
                <w:bCs/>
                <w:color w:val="auto"/>
                <w:sz w:val="21"/>
                <w:szCs w:val="21"/>
              </w:rPr>
            </w:pPr>
            <w:r>
              <w:rPr>
                <w:rFonts w:hint="eastAsia" w:hAnsi="宋体"/>
                <w:bCs/>
                <w:color w:val="auto"/>
                <w:sz w:val="21"/>
                <w:szCs w:val="21"/>
              </w:rPr>
              <w:t>成交服务费标准</w:t>
            </w:r>
          </w:p>
        </w:tc>
        <w:tc>
          <w:tcPr>
            <w:tcW w:w="7126"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contextualSpacing/>
              <w:textAlignment w:val="auto"/>
              <w:outlineLvl w:val="9"/>
              <w:rPr>
                <w:rFonts w:hAnsi="宋体"/>
                <w:b/>
                <w:bCs/>
                <w:color w:val="auto"/>
                <w:sz w:val="21"/>
                <w:szCs w:val="21"/>
              </w:rPr>
            </w:pPr>
            <w:r>
              <w:rPr>
                <w:rFonts w:hint="eastAsia" w:hAnsi="宋体" w:cs="Times New Roman"/>
                <w:bCs/>
                <w:color w:val="auto"/>
                <w:sz w:val="21"/>
                <w:szCs w:val="21"/>
                <w:lang w:eastAsia="zh-CN"/>
              </w:rPr>
              <w:t>成交供应商</w:t>
            </w:r>
            <w:r>
              <w:rPr>
                <w:rFonts w:hint="eastAsia" w:ascii="宋体" w:hAnsi="宋体" w:eastAsia="宋体" w:cs="Times New Roman"/>
                <w:bCs/>
                <w:color w:val="auto"/>
                <w:sz w:val="21"/>
                <w:szCs w:val="21"/>
                <w:lang w:eastAsia="zh-CN"/>
              </w:rPr>
              <w:t>在领取《</w:t>
            </w:r>
            <w:r>
              <w:rPr>
                <w:rFonts w:hint="eastAsia" w:hAnsi="宋体" w:cs="Times New Roman"/>
                <w:bCs/>
                <w:color w:val="auto"/>
                <w:sz w:val="21"/>
                <w:szCs w:val="21"/>
                <w:lang w:eastAsia="zh-CN"/>
              </w:rPr>
              <w:t>成交通知书</w:t>
            </w:r>
            <w:r>
              <w:rPr>
                <w:rFonts w:hint="eastAsia" w:ascii="宋体" w:hAnsi="宋体" w:eastAsia="宋体" w:cs="Times New Roman"/>
                <w:bCs/>
                <w:color w:val="auto"/>
                <w:sz w:val="21"/>
                <w:szCs w:val="21"/>
                <w:lang w:eastAsia="zh-CN"/>
              </w:rPr>
              <w:t>》时须向代理机构交纳</w:t>
            </w:r>
            <w:r>
              <w:rPr>
                <w:rFonts w:hint="eastAsia" w:hAnsi="宋体" w:cs="Times New Roman"/>
                <w:bCs/>
                <w:color w:val="auto"/>
                <w:sz w:val="21"/>
                <w:szCs w:val="21"/>
                <w:lang w:eastAsia="zh-CN"/>
              </w:rPr>
              <w:t>成交服务费</w:t>
            </w:r>
            <w:r>
              <w:rPr>
                <w:rFonts w:hint="eastAsia" w:ascii="宋体" w:hAnsi="宋体" w:eastAsia="宋体" w:cs="Times New Roman"/>
                <w:bCs/>
                <w:color w:val="auto"/>
                <w:sz w:val="21"/>
                <w:szCs w:val="21"/>
                <w:lang w:eastAsia="zh-CN"/>
              </w:rPr>
              <w:t>，本项目</w:t>
            </w:r>
            <w:r>
              <w:rPr>
                <w:rFonts w:hint="eastAsia" w:hAnsi="宋体" w:cs="Times New Roman"/>
                <w:bCs/>
                <w:color w:val="auto"/>
                <w:sz w:val="21"/>
                <w:szCs w:val="21"/>
                <w:lang w:eastAsia="zh-CN"/>
              </w:rPr>
              <w:t>成交服务费</w:t>
            </w:r>
            <w:r>
              <w:rPr>
                <w:rFonts w:hint="eastAsia" w:ascii="宋体" w:hAnsi="宋体" w:eastAsia="宋体" w:cs="Times New Roman"/>
                <w:bCs/>
                <w:color w:val="auto"/>
                <w:sz w:val="21"/>
                <w:szCs w:val="21"/>
                <w:lang w:eastAsia="zh-CN"/>
              </w:rPr>
              <w:t>按定额4500.00元收取。</w:t>
            </w:r>
          </w:p>
        </w:tc>
      </w:tr>
    </w:tbl>
    <w:p>
      <w:pPr>
        <w:keepNext w:val="0"/>
        <w:keepLines/>
        <w:pageBreakBefore/>
        <w:widowControl w:val="0"/>
        <w:tabs>
          <w:tab w:val="left" w:pos="567"/>
        </w:tabs>
        <w:kinsoku/>
        <w:wordWrap/>
        <w:overflowPunct/>
        <w:topLinePunct w:val="0"/>
        <w:autoSpaceDE w:val="0"/>
        <w:autoSpaceDN w:val="0"/>
        <w:bidi w:val="0"/>
        <w:adjustRightInd w:val="0"/>
        <w:snapToGrid/>
        <w:spacing w:line="460" w:lineRule="exact"/>
        <w:jc w:val="center"/>
        <w:textAlignment w:val="auto"/>
        <w:outlineLvl w:val="9"/>
        <w:rPr>
          <w:rFonts w:hint="eastAsia" w:ascii="宋体" w:hAnsi="宋体" w:eastAsia="宋体" w:cs="宋体"/>
          <w:b/>
          <w:bCs/>
          <w:color w:val="auto"/>
          <w:kern w:val="44"/>
          <w:lang w:val="zh-CN"/>
        </w:rPr>
      </w:pPr>
      <w:bookmarkStart w:id="28" w:name="_Toc382926891"/>
      <w:bookmarkStart w:id="29" w:name="_Toc382840840"/>
      <w:r>
        <w:rPr>
          <w:rFonts w:hint="eastAsia" w:ascii="宋体" w:hAnsi="宋体" w:eastAsia="宋体" w:cs="宋体"/>
          <w:b/>
          <w:bCs/>
          <w:color w:val="auto"/>
          <w:kern w:val="44"/>
          <w:lang w:val="zh-CN"/>
        </w:rPr>
        <w:br w:type="textWrapping"/>
      </w:r>
      <w:r>
        <w:rPr>
          <w:rFonts w:hint="eastAsia" w:ascii="宋体" w:hAnsi="宋体" w:eastAsia="宋体" w:cs="宋体"/>
          <w:b/>
          <w:bCs/>
          <w:color w:val="auto"/>
          <w:kern w:val="44"/>
          <w:lang w:val="zh-CN"/>
        </w:rPr>
        <w:t>二、</w:t>
      </w:r>
      <w:r>
        <w:rPr>
          <w:rFonts w:hint="eastAsia" w:hAnsi="宋体" w:cs="宋体"/>
          <w:b/>
          <w:bCs/>
          <w:color w:val="auto"/>
          <w:kern w:val="44"/>
          <w:lang w:val="zh-CN"/>
        </w:rPr>
        <w:t>响应供应商</w:t>
      </w:r>
      <w:r>
        <w:rPr>
          <w:rFonts w:hint="eastAsia" w:ascii="宋体" w:hAnsi="宋体" w:eastAsia="宋体" w:cs="宋体"/>
          <w:b/>
          <w:bCs/>
          <w:color w:val="auto"/>
          <w:kern w:val="44"/>
          <w:lang w:val="zh-CN"/>
        </w:rPr>
        <w:t>须知</w:t>
      </w:r>
      <w:bookmarkEnd w:id="28"/>
      <w:bookmarkEnd w:id="29"/>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rPr>
        <w:t>供应商必须认真阅读谈判文件中所有的事项、格式、条款和采购需求等。供应商没有按照谈判文件要求提交全部资料，或者响应文件没有对谈判文件在各方面都做出实质性响应的可能导致其响应无效或被拒绝。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rPr>
      </w:pPr>
      <w:bookmarkStart w:id="30" w:name="_Toc382926892"/>
      <w:bookmarkStart w:id="31" w:name="_Toc382840841"/>
      <w:r>
        <w:rPr>
          <w:rFonts w:hint="eastAsia" w:ascii="宋体" w:hAnsi="宋体" w:eastAsia="宋体" w:cs="宋体"/>
          <w:b/>
          <w:bCs/>
          <w:color w:val="auto"/>
        </w:rPr>
        <w:t>一、名词解释</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lang w:val="zh-CN"/>
        </w:rPr>
        <w:t>采购人：本项目的采购人是</w:t>
      </w:r>
      <w:r>
        <w:rPr>
          <w:rFonts w:hint="eastAsia" w:ascii="宋体" w:hAnsi="宋体" w:eastAsia="宋体" w:cs="宋体"/>
          <w:color w:val="auto"/>
          <w:lang w:eastAsia="zh-CN"/>
        </w:rPr>
        <w:t>南方医科大学第七附属医院，</w:t>
      </w:r>
      <w:r>
        <w:rPr>
          <w:rFonts w:hint="eastAsia" w:ascii="宋体" w:hAnsi="宋体" w:eastAsia="宋体" w:cs="宋体"/>
          <w:color w:val="auto"/>
        </w:rPr>
        <w:t>是采购活动当事人之一，负责项目的整体规划、技术方案可行性设计论证与实施，作为合同采购方（用户）的主体承担质疑回复、履行合同、验收与评价等义务。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lang w:val="zh-CN"/>
        </w:rPr>
        <w:t>采购代理机构：是指广东远东招标代理有限公司，</w:t>
      </w:r>
      <w:r>
        <w:rPr>
          <w:rFonts w:hint="eastAsia" w:ascii="宋体" w:hAnsi="宋体" w:eastAsia="宋体" w:cs="宋体"/>
          <w:color w:val="auto"/>
        </w:rPr>
        <w:t>负责整个采购活动的组织，依法负责编制和发布谈判文件，对谈判文件拥有最终的解释权，不以任何身份出任谈判小组成员。</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3.</w:t>
      </w:r>
      <w:r>
        <w:rPr>
          <w:rFonts w:hint="eastAsia" w:hAnsi="宋体" w:cs="宋体"/>
          <w:color w:val="auto"/>
          <w:lang w:val="zh-CN"/>
        </w:rPr>
        <w:t>响应供应商</w:t>
      </w:r>
      <w:r>
        <w:rPr>
          <w:rFonts w:hint="eastAsia" w:ascii="宋体" w:hAnsi="宋体" w:eastAsia="宋体" w:cs="宋体"/>
          <w:color w:val="auto"/>
          <w:lang w:val="zh-CN"/>
        </w:rPr>
        <w:t>：是指响应谈判、参加报价竞争的在中华人民共和国境内注册登记的法人。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4.</w:t>
      </w:r>
      <w:r>
        <w:rPr>
          <w:rFonts w:hint="eastAsia" w:ascii="宋体" w:hAnsi="宋体" w:eastAsia="宋体" w:cs="宋体"/>
          <w:color w:val="auto"/>
        </w:rPr>
        <w:t>成交供应商</w:t>
      </w:r>
      <w:r>
        <w:rPr>
          <w:rFonts w:hint="eastAsia" w:ascii="宋体" w:hAnsi="宋体" w:eastAsia="宋体" w:cs="宋体"/>
          <w:color w:val="auto"/>
          <w:lang w:eastAsia="zh-CN"/>
        </w:rPr>
        <w:t>：</w:t>
      </w:r>
      <w:r>
        <w:rPr>
          <w:rFonts w:hint="eastAsia" w:ascii="宋体" w:hAnsi="宋体" w:eastAsia="宋体" w:cs="宋体"/>
          <w:color w:val="auto"/>
          <w:lang w:val="zh-CN"/>
        </w:rPr>
        <w:t>是指由谈判小组评审推荐，经法定程序确定获得本项目成交资格的</w:t>
      </w:r>
      <w:r>
        <w:rPr>
          <w:rFonts w:hint="eastAsia" w:hAnsi="宋体" w:cs="宋体"/>
          <w:color w:val="auto"/>
          <w:lang w:val="zh-CN"/>
        </w:rPr>
        <w:t>响应供应商</w:t>
      </w:r>
      <w:r>
        <w:rPr>
          <w:rFonts w:hint="eastAsia" w:ascii="宋体" w:hAnsi="宋体" w:eastAsia="宋体" w:cs="宋体"/>
          <w:color w:val="auto"/>
          <w:lang w:val="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5.</w:t>
      </w:r>
      <w:r>
        <w:rPr>
          <w:rFonts w:hint="eastAsia" w:ascii="宋体" w:hAnsi="宋体" w:eastAsia="宋体" w:cs="宋体"/>
          <w:color w:val="auto"/>
          <w:lang w:val="zh-CN"/>
        </w:rPr>
        <w:t>谈判小组：是指参照有关法律法规和采购人制度，组建的负责本次谈判的临时性评审工作机构。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6.</w:t>
      </w:r>
      <w:r>
        <w:rPr>
          <w:rFonts w:hint="eastAsia" w:ascii="宋体" w:hAnsi="宋体" w:eastAsia="宋体" w:cs="宋体"/>
          <w:color w:val="auto"/>
          <w:lang w:val="zh-CN"/>
        </w:rPr>
        <w:t>谈判文件：是指由采购代理机构发出的本谈判文件，包括全部章节</w:t>
      </w:r>
      <w:r>
        <w:rPr>
          <w:rFonts w:hint="eastAsia" w:ascii="宋体" w:hAnsi="宋体" w:eastAsia="宋体" w:cs="宋体"/>
          <w:color w:val="auto"/>
        </w:rPr>
        <w:t>及其补充、变更和澄清等一系列文件</w:t>
      </w:r>
      <w:r>
        <w:rPr>
          <w:rFonts w:hint="eastAsia" w:ascii="宋体" w:hAnsi="宋体" w:eastAsia="宋体" w:cs="宋体"/>
          <w:color w:val="auto"/>
          <w:lang w:val="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7.</w:t>
      </w:r>
      <w:r>
        <w:rPr>
          <w:rFonts w:hint="eastAsia" w:hAnsi="宋体" w:cs="宋体"/>
          <w:color w:val="auto"/>
          <w:lang w:val="zh-CN"/>
        </w:rPr>
        <w:t>响应文件</w:t>
      </w:r>
      <w:r>
        <w:rPr>
          <w:rFonts w:hint="eastAsia" w:ascii="宋体" w:hAnsi="宋体" w:eastAsia="宋体" w:cs="宋体"/>
          <w:color w:val="auto"/>
          <w:lang w:val="zh-CN"/>
        </w:rPr>
        <w:t>：是指</w:t>
      </w:r>
      <w:r>
        <w:rPr>
          <w:rFonts w:hint="eastAsia" w:hAnsi="宋体" w:cs="宋体"/>
          <w:color w:val="auto"/>
          <w:lang w:val="zh-CN"/>
        </w:rPr>
        <w:t>响应供应商</w:t>
      </w:r>
      <w:r>
        <w:rPr>
          <w:rFonts w:hint="eastAsia" w:ascii="宋体" w:hAnsi="宋体" w:eastAsia="宋体" w:cs="宋体"/>
          <w:color w:val="auto"/>
          <w:lang w:val="zh-CN"/>
        </w:rPr>
        <w:t>根据本谈判文件向采购代理机构提交的全部响应文件。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8.</w:t>
      </w:r>
      <w:r>
        <w:rPr>
          <w:rFonts w:hint="eastAsia" w:ascii="宋体" w:hAnsi="宋体" w:eastAsia="宋体" w:cs="宋体"/>
          <w:color w:val="auto"/>
          <w:lang w:val="zh-CN"/>
        </w:rPr>
        <w:t>书面函件：是指手写、打字或印刷的函件，包括电传、电报和传真。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9.</w:t>
      </w:r>
      <w:r>
        <w:rPr>
          <w:rFonts w:hint="eastAsia" w:ascii="宋体" w:hAnsi="宋体" w:eastAsia="宋体" w:cs="宋体"/>
          <w:color w:val="auto"/>
          <w:lang w:val="zh-CN"/>
        </w:rPr>
        <w:t>合同：是指由本次采购所产生的合同或合约文件。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10.</w:t>
      </w:r>
      <w:r>
        <w:rPr>
          <w:rFonts w:hint="eastAsia" w:ascii="宋体" w:hAnsi="宋体" w:eastAsia="宋体" w:cs="宋体"/>
          <w:color w:val="auto"/>
          <w:lang w:val="zh-CN"/>
        </w:rPr>
        <w:t>甲方：是指在合同条款中指明的采购人。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11.</w:t>
      </w:r>
      <w:r>
        <w:rPr>
          <w:rFonts w:hint="eastAsia" w:ascii="宋体" w:hAnsi="宋体" w:eastAsia="宋体" w:cs="宋体"/>
          <w:color w:val="auto"/>
          <w:lang w:val="zh-CN"/>
        </w:rPr>
        <w:t>乙方：是指在合同条款中指明的本合同项下提供相关服务的公司或实体。</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12.</w:t>
      </w:r>
      <w:r>
        <w:rPr>
          <w:rFonts w:hint="eastAsia" w:ascii="宋体" w:hAnsi="宋体" w:eastAsia="宋体" w:cs="宋体"/>
          <w:color w:val="auto"/>
          <w:lang w:val="zh-CN"/>
        </w:rPr>
        <w:t>日期：是指公历日。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13.</w:t>
      </w:r>
      <w:r>
        <w:rPr>
          <w:rFonts w:hint="eastAsia" w:ascii="宋体" w:hAnsi="宋体" w:eastAsia="宋体" w:cs="宋体"/>
          <w:color w:val="auto"/>
          <w:lang w:val="zh-CN"/>
        </w:rPr>
        <w:t>时间：是指北京时间。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14.</w:t>
      </w:r>
      <w:r>
        <w:rPr>
          <w:rFonts w:hint="eastAsia" w:ascii="宋体" w:hAnsi="宋体" w:eastAsia="宋体" w:cs="宋体"/>
          <w:color w:val="auto"/>
        </w:rPr>
        <w:t>货物</w:t>
      </w:r>
      <w:r>
        <w:rPr>
          <w:rFonts w:hint="eastAsia" w:ascii="宋体" w:hAnsi="宋体" w:eastAsia="宋体" w:cs="宋体"/>
          <w:color w:val="auto"/>
          <w:lang w:eastAsia="zh-CN"/>
        </w:rPr>
        <w:t>：</w:t>
      </w:r>
      <w:r>
        <w:rPr>
          <w:rFonts w:hint="eastAsia" w:ascii="宋体" w:hAnsi="宋体" w:eastAsia="宋体" w:cs="宋体"/>
          <w:color w:val="auto"/>
        </w:rPr>
        <w:t>是指</w:t>
      </w:r>
      <w:r>
        <w:rPr>
          <w:rFonts w:hint="eastAsia" w:hAnsi="宋体" w:cs="宋体"/>
          <w:color w:val="auto"/>
          <w:lang w:eastAsia="zh-CN"/>
        </w:rPr>
        <w:t>响应供应商</w:t>
      </w:r>
      <w:r>
        <w:rPr>
          <w:rFonts w:hint="eastAsia" w:ascii="宋体" w:hAnsi="宋体" w:eastAsia="宋体" w:cs="宋体"/>
          <w:color w:val="auto"/>
        </w:rPr>
        <w:t>须承担的谈判文件规定的相关货物。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15.</w:t>
      </w:r>
      <w:r>
        <w:rPr>
          <w:rFonts w:hint="eastAsia" w:ascii="宋体" w:hAnsi="宋体" w:eastAsia="宋体" w:cs="宋体"/>
          <w:color w:val="auto"/>
          <w:lang w:val="zh-CN"/>
        </w:rPr>
        <w:t>服务：系指与本项目有关的除货物和工程以外的其他采购对象，其中包括：</w:t>
      </w:r>
      <w:r>
        <w:rPr>
          <w:rFonts w:hint="eastAsia" w:hAnsi="宋体" w:cs="宋体"/>
          <w:color w:val="auto"/>
          <w:lang w:val="zh-CN"/>
        </w:rPr>
        <w:t>响应供应商</w:t>
      </w:r>
      <w:r>
        <w:rPr>
          <w:rFonts w:hint="eastAsia" w:ascii="宋体" w:hAnsi="宋体" w:eastAsia="宋体" w:cs="宋体"/>
          <w:color w:val="auto"/>
          <w:lang w:val="zh-CN"/>
        </w:rPr>
        <w:t>须承担的运输、安装、技术支持、培训以及谈判文件规定的其它服务。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16.</w:t>
      </w:r>
      <w:r>
        <w:rPr>
          <w:rFonts w:hint="eastAsia" w:ascii="宋体" w:hAnsi="宋体" w:eastAsia="宋体" w:cs="宋体"/>
          <w:color w:val="auto"/>
          <w:lang w:val="zh-CN"/>
        </w:rPr>
        <w:t>实质性响应：是指符合谈判文件的所有要求、条款、条件和规定，且没有不利于项目实施质量效果和服务保障的重大偏离或保留。</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17.</w:t>
      </w:r>
      <w:r>
        <w:rPr>
          <w:rFonts w:hint="eastAsia" w:ascii="宋体" w:hAnsi="宋体" w:eastAsia="宋体" w:cs="宋体"/>
          <w:color w:val="auto"/>
          <w:lang w:val="zh-CN"/>
        </w:rPr>
        <w:t>重大偏离或保留：是指影响到谈判文件规定的范围、质量和性能或限制了采购人的权力和</w:t>
      </w:r>
      <w:r>
        <w:rPr>
          <w:rFonts w:hint="eastAsia" w:hAnsi="宋体" w:cs="宋体"/>
          <w:color w:val="auto"/>
          <w:lang w:val="zh-CN"/>
        </w:rPr>
        <w:t>响应供应商</w:t>
      </w:r>
      <w:r>
        <w:rPr>
          <w:rFonts w:hint="eastAsia" w:ascii="宋体" w:hAnsi="宋体" w:eastAsia="宋体" w:cs="宋体"/>
          <w:color w:val="auto"/>
          <w:lang w:val="zh-CN"/>
        </w:rPr>
        <w:t>义务的规定，而纠正这些偏离将影响到其它</w:t>
      </w:r>
      <w:r>
        <w:rPr>
          <w:rFonts w:hint="eastAsia" w:hAnsi="宋体" w:cs="宋体"/>
          <w:color w:val="auto"/>
          <w:lang w:val="zh-CN"/>
        </w:rPr>
        <w:t>响应供应商</w:t>
      </w:r>
      <w:r>
        <w:rPr>
          <w:rFonts w:hint="eastAsia" w:ascii="宋体" w:hAnsi="宋体" w:eastAsia="宋体" w:cs="宋体"/>
          <w:color w:val="auto"/>
          <w:lang w:val="zh-CN"/>
        </w:rPr>
        <w:t>的公平竞争地位。</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rPr>
      </w:pPr>
      <w:r>
        <w:rPr>
          <w:rFonts w:hint="eastAsia" w:ascii="宋体" w:hAnsi="宋体" w:eastAsia="宋体" w:cs="宋体"/>
          <w:b/>
          <w:bCs/>
          <w:color w:val="auto"/>
          <w:lang w:val="zh-CN"/>
        </w:rPr>
        <w:t>二、总则</w:t>
      </w:r>
      <w:bookmarkEnd w:id="30"/>
      <w:bookmarkEnd w:id="31"/>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zh-CN"/>
        </w:rPr>
        <w:t>1</w:t>
      </w:r>
      <w:r>
        <w:rPr>
          <w:rFonts w:hint="eastAsia" w:ascii="宋体" w:hAnsi="宋体" w:eastAsia="宋体" w:cs="宋体"/>
          <w:color w:val="auto"/>
          <w:lang w:val="en-US" w:eastAsia="zh-CN"/>
        </w:rPr>
        <w:t>.</w:t>
      </w:r>
      <w:r>
        <w:rPr>
          <w:rFonts w:hint="eastAsia" w:ascii="宋体" w:hAnsi="宋体" w:eastAsia="宋体" w:cs="宋体"/>
          <w:color w:val="auto"/>
          <w:lang w:val="zh-CN"/>
        </w:rPr>
        <w:t>资金来源：详见《报价须知前附表》。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zh-CN"/>
        </w:rPr>
        <w:t>2</w:t>
      </w:r>
      <w:r>
        <w:rPr>
          <w:rFonts w:hint="eastAsia" w:ascii="宋体" w:hAnsi="宋体" w:eastAsia="宋体" w:cs="宋体"/>
          <w:color w:val="auto"/>
          <w:lang w:val="en-US" w:eastAsia="zh-CN"/>
        </w:rPr>
        <w:t>.</w:t>
      </w:r>
      <w:r>
        <w:rPr>
          <w:rFonts w:hint="eastAsia" w:ascii="宋体" w:hAnsi="宋体" w:eastAsia="宋体" w:cs="宋体"/>
          <w:color w:val="auto"/>
          <w:lang w:val="zh-CN"/>
        </w:rPr>
        <w:t>谈判适用范围：本谈判文件仅适用于本次</w:t>
      </w:r>
      <w:r>
        <w:rPr>
          <w:rFonts w:hint="eastAsia" w:hAnsi="宋体" w:cs="宋体"/>
          <w:color w:val="auto"/>
          <w:lang w:val="zh-CN"/>
        </w:rPr>
        <w:t>谈判邀请</w:t>
      </w:r>
      <w:r>
        <w:rPr>
          <w:rFonts w:hint="eastAsia" w:ascii="宋体" w:hAnsi="宋体" w:eastAsia="宋体" w:cs="宋体"/>
          <w:color w:val="auto"/>
          <w:lang w:val="zh-CN"/>
        </w:rPr>
        <w:t>中所叙述的货物及服务采购。本次谈判采用一个最有竞争力的</w:t>
      </w:r>
      <w:r>
        <w:rPr>
          <w:rFonts w:hint="eastAsia" w:hAnsi="宋体" w:cs="宋体"/>
          <w:color w:val="auto"/>
          <w:lang w:val="zh-CN"/>
        </w:rPr>
        <w:t>响应</w:t>
      </w:r>
      <w:r>
        <w:rPr>
          <w:rFonts w:hint="eastAsia" w:ascii="宋体" w:hAnsi="宋体" w:eastAsia="宋体" w:cs="宋体"/>
          <w:color w:val="auto"/>
          <w:lang w:val="zh-CN"/>
        </w:rPr>
        <w:t>报价和方案，否则将作无效报价处理。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zh-CN"/>
        </w:rPr>
        <w:t>3</w:t>
      </w:r>
      <w:r>
        <w:rPr>
          <w:rFonts w:hint="eastAsia" w:ascii="宋体" w:hAnsi="宋体" w:eastAsia="宋体" w:cs="宋体"/>
          <w:color w:val="auto"/>
          <w:lang w:val="en-US" w:eastAsia="zh-CN"/>
        </w:rPr>
        <w:t>.</w:t>
      </w:r>
      <w:r>
        <w:rPr>
          <w:rFonts w:hint="eastAsia" w:ascii="宋体" w:hAnsi="宋体" w:eastAsia="宋体" w:cs="宋体"/>
          <w:color w:val="auto"/>
          <w:lang w:val="zh-CN"/>
        </w:rPr>
        <w:t>谈判适用的法律：本次谈判参考的主要法律法规为《中华人民共和国政府采购法》及采购人有关规定。</w:t>
      </w:r>
    </w:p>
    <w:p>
      <w:pPr>
        <w:keepNext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rPr>
      </w:pPr>
      <w:r>
        <w:rPr>
          <w:rFonts w:hint="eastAsia" w:ascii="宋体" w:hAnsi="宋体" w:eastAsia="宋体" w:cs="宋体"/>
          <w:color w:val="auto"/>
          <w:lang w:val="en-US" w:eastAsia="zh-CN"/>
        </w:rPr>
        <w:t>4.谈判的方式：</w:t>
      </w:r>
      <w:r>
        <w:rPr>
          <w:rFonts w:hint="eastAsia" w:ascii="宋体" w:hAnsi="宋体" w:eastAsia="宋体" w:cs="宋体"/>
          <w:color w:val="auto"/>
        </w:rPr>
        <w:t>本次竞争性谈判项目，是以谈判公告的方式邀请非特定的供应商参加谈判。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5.</w:t>
      </w:r>
      <w:r>
        <w:rPr>
          <w:rFonts w:hint="eastAsia" w:ascii="宋体" w:hAnsi="宋体" w:eastAsia="宋体" w:cs="宋体"/>
          <w:color w:val="auto"/>
          <w:lang w:val="zh-CN"/>
        </w:rPr>
        <w:t>合格的</w:t>
      </w:r>
      <w:r>
        <w:rPr>
          <w:rFonts w:hint="eastAsia" w:hAnsi="宋体" w:cs="宋体"/>
          <w:color w:val="auto"/>
          <w:lang w:val="zh-CN"/>
        </w:rPr>
        <w:t>响应供应商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w:t>
      </w:r>
      <w:r>
        <w:rPr>
          <w:rFonts w:hint="eastAsia" w:ascii="宋体" w:hAnsi="宋体" w:eastAsia="宋体" w:cs="宋体"/>
          <w:color w:val="auto"/>
          <w:lang w:val="zh-CN"/>
        </w:rPr>
        <w:t>符合谈判文件规定的资格要求及特殊条件要求，合格</w:t>
      </w:r>
      <w:r>
        <w:rPr>
          <w:rFonts w:hint="eastAsia" w:hAnsi="宋体" w:cs="宋体"/>
          <w:color w:val="auto"/>
          <w:lang w:val="zh-CN"/>
        </w:rPr>
        <w:t>响应供应商</w:t>
      </w:r>
      <w:r>
        <w:rPr>
          <w:rFonts w:hint="eastAsia" w:ascii="宋体" w:hAnsi="宋体" w:eastAsia="宋体" w:cs="宋体"/>
          <w:color w:val="auto"/>
          <w:lang w:val="zh-CN"/>
        </w:rPr>
        <w:t>的条件详见《报价须知前附表》的“合格的</w:t>
      </w:r>
      <w:r>
        <w:rPr>
          <w:rFonts w:hint="eastAsia" w:hAnsi="宋体" w:cs="宋体"/>
          <w:color w:val="auto"/>
          <w:lang w:val="zh-CN"/>
        </w:rPr>
        <w:t>响应供应商</w:t>
      </w:r>
      <w:r>
        <w:rPr>
          <w:rFonts w:hint="eastAsia" w:ascii="宋体" w:hAnsi="宋体" w:eastAsia="宋体" w:cs="宋体"/>
          <w:color w:val="auto"/>
          <w:lang w:val="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（2）</w:t>
      </w:r>
      <w:r>
        <w:rPr>
          <w:rFonts w:hint="eastAsia" w:ascii="宋体" w:hAnsi="宋体" w:eastAsia="宋体" w:cs="宋体"/>
          <w:color w:val="auto"/>
          <w:lang w:val="zh-CN"/>
        </w:rPr>
        <w:t>为达到履行本采购合同及相关服务的目的，参加报价的</w:t>
      </w:r>
      <w:r>
        <w:rPr>
          <w:rFonts w:hint="eastAsia" w:hAnsi="宋体" w:cs="宋体"/>
          <w:color w:val="auto"/>
          <w:lang w:val="zh-CN"/>
        </w:rPr>
        <w:t>响应供应商</w:t>
      </w:r>
      <w:r>
        <w:rPr>
          <w:rFonts w:hint="eastAsia" w:ascii="宋体" w:hAnsi="宋体" w:eastAsia="宋体" w:cs="宋体"/>
          <w:color w:val="auto"/>
          <w:lang w:val="zh-CN"/>
        </w:rPr>
        <w:t>必须满足条件详见《报价须知前附表》。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（3）</w:t>
      </w:r>
      <w:r>
        <w:rPr>
          <w:rFonts w:hint="eastAsia" w:hAnsi="宋体" w:cs="宋体"/>
          <w:color w:val="auto"/>
          <w:lang w:val="zh-CN"/>
        </w:rPr>
        <w:t>响应供应商</w:t>
      </w:r>
      <w:r>
        <w:rPr>
          <w:rFonts w:hint="eastAsia" w:ascii="宋体" w:hAnsi="宋体" w:eastAsia="宋体" w:cs="宋体"/>
          <w:color w:val="auto"/>
          <w:lang w:val="zh-CN"/>
        </w:rPr>
        <w:t>应该参考《中华人民共和国政府采购法》及采购人有关规定进行报价。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（4）</w:t>
      </w:r>
      <w:r>
        <w:rPr>
          <w:rFonts w:hint="eastAsia" w:hAnsi="宋体" w:cs="宋体"/>
          <w:color w:val="auto"/>
          <w:lang w:val="zh-CN"/>
        </w:rPr>
        <w:t>响应供应商</w:t>
      </w:r>
      <w:r>
        <w:rPr>
          <w:rFonts w:hint="eastAsia" w:ascii="宋体" w:hAnsi="宋体" w:eastAsia="宋体" w:cs="宋体"/>
          <w:color w:val="auto"/>
          <w:lang w:val="zh-CN"/>
        </w:rPr>
        <w:t>应在</w:t>
      </w:r>
      <w:r>
        <w:rPr>
          <w:rFonts w:hint="eastAsia" w:hAnsi="宋体" w:cs="宋体"/>
          <w:color w:val="auto"/>
          <w:lang w:val="zh-CN"/>
        </w:rPr>
        <w:t>响应文件</w:t>
      </w:r>
      <w:r>
        <w:rPr>
          <w:rFonts w:hint="eastAsia" w:ascii="宋体" w:hAnsi="宋体" w:eastAsia="宋体" w:cs="宋体"/>
          <w:color w:val="auto"/>
          <w:lang w:val="zh-CN"/>
        </w:rPr>
        <w:t>中主动填报报价之前三年内有无受各级管理部门的处分或处罚，如果不主动填报而被发现的，将取消其报价资格，并按有关规定从重处理。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（5）</w:t>
      </w:r>
      <w:r>
        <w:rPr>
          <w:rFonts w:hint="eastAsia" w:ascii="宋体" w:hAnsi="宋体" w:eastAsia="宋体" w:cs="宋体"/>
          <w:color w:val="auto"/>
          <w:lang w:val="zh-CN"/>
        </w:rPr>
        <w:t>不同的</w:t>
      </w:r>
      <w:r>
        <w:rPr>
          <w:rFonts w:hint="eastAsia" w:hAnsi="宋体" w:cs="宋体"/>
          <w:color w:val="auto"/>
          <w:lang w:val="zh-CN"/>
        </w:rPr>
        <w:t>响应供应商</w:t>
      </w:r>
      <w:r>
        <w:rPr>
          <w:rFonts w:hint="eastAsia" w:ascii="宋体" w:hAnsi="宋体" w:eastAsia="宋体" w:cs="宋体"/>
          <w:color w:val="auto"/>
          <w:lang w:val="zh-CN"/>
        </w:rPr>
        <w:t>之间有下列情形之一的，不接受作为参与同一采购项目竞争的供应商：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rPr>
      </w:pPr>
      <w:r>
        <w:rPr>
          <w:rFonts w:hint="eastAsia" w:ascii="宋体" w:hAnsi="宋体" w:eastAsia="宋体" w:cs="宋体"/>
          <w:color w:val="auto"/>
          <w:lang w:val="en-US" w:eastAsia="zh-CN"/>
        </w:rPr>
        <w:t>1</w:t>
      </w:r>
      <w:r>
        <w:rPr>
          <w:rFonts w:hint="eastAsia" w:ascii="宋体" w:hAnsi="宋体" w:eastAsia="宋体" w:cs="宋体"/>
          <w:color w:val="auto"/>
          <w:lang w:val="zh-CN"/>
        </w:rPr>
        <w:t>）彼此存在投资与被投资关系的；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）彼此的经营者、董事会（或同类管理机构）成员属于直系亲属或配偶关系的。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（6）</w:t>
      </w:r>
      <w:r>
        <w:rPr>
          <w:rFonts w:hint="eastAsia" w:ascii="宋体" w:hAnsi="宋体" w:eastAsia="宋体" w:cs="宋体"/>
          <w:color w:val="auto"/>
          <w:lang w:val="zh-CN" w:eastAsia="zh-CN"/>
        </w:rPr>
        <w:t>本项目不允许联合体报价。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6.</w:t>
      </w:r>
      <w:r>
        <w:rPr>
          <w:rFonts w:hint="eastAsia" w:ascii="宋体" w:hAnsi="宋体" w:eastAsia="宋体" w:cs="宋体"/>
          <w:color w:val="auto"/>
          <w:lang w:val="zh-CN" w:eastAsia="zh-CN"/>
        </w:rPr>
        <w:t>纪律与保密事项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响应供应商</w:t>
      </w:r>
      <w:r>
        <w:rPr>
          <w:rFonts w:hint="eastAsia" w:ascii="宋体" w:hAnsi="宋体" w:eastAsia="宋体" w:cs="宋体"/>
          <w:color w:val="auto"/>
          <w:lang w:val="zh-CN" w:eastAsia="zh-CN"/>
        </w:rPr>
        <w:t>不得相互串通报价，或以不正当的手段妨碍、排挤其他</w:t>
      </w:r>
      <w:r>
        <w:rPr>
          <w:rFonts w:hint="eastAsia" w:hAnsi="宋体" w:cs="宋体"/>
          <w:color w:val="auto"/>
          <w:lang w:val="zh-CN" w:eastAsia="zh-CN"/>
        </w:rPr>
        <w:t>响应供应商</w:t>
      </w:r>
      <w:r>
        <w:rPr>
          <w:rFonts w:hint="eastAsia" w:ascii="宋体" w:hAnsi="宋体" w:eastAsia="宋体" w:cs="宋体"/>
          <w:color w:val="auto"/>
          <w:lang w:val="zh-CN" w:eastAsia="zh-CN"/>
        </w:rPr>
        <w:t>，扰乱谈判市场，破坏公平竞争原则，不得损害采购人或其他</w:t>
      </w:r>
      <w:r>
        <w:rPr>
          <w:rFonts w:hint="eastAsia" w:hAnsi="宋体" w:cs="宋体"/>
          <w:color w:val="auto"/>
          <w:lang w:val="zh-CN" w:eastAsia="zh-CN"/>
        </w:rPr>
        <w:t>响应供应商</w:t>
      </w:r>
      <w:r>
        <w:rPr>
          <w:rFonts w:hint="eastAsia" w:ascii="宋体" w:hAnsi="宋体" w:eastAsia="宋体" w:cs="宋体"/>
          <w:color w:val="auto"/>
          <w:lang w:val="zh-CN" w:eastAsia="zh-CN"/>
        </w:rPr>
        <w:t>的合法权益，</w:t>
      </w:r>
      <w:r>
        <w:rPr>
          <w:rFonts w:hint="eastAsia" w:hAnsi="宋体" w:cs="宋体"/>
          <w:color w:val="auto"/>
          <w:lang w:val="zh-CN" w:eastAsia="zh-CN"/>
        </w:rPr>
        <w:t>响应供应商</w:t>
      </w:r>
      <w:r>
        <w:rPr>
          <w:rFonts w:hint="eastAsia" w:ascii="宋体" w:hAnsi="宋体" w:eastAsia="宋体" w:cs="宋体"/>
          <w:color w:val="auto"/>
          <w:lang w:val="zh-CN" w:eastAsia="zh-CN"/>
        </w:rPr>
        <w:t>不得以向采购人、谈判小组成员行贿或者采取其他不正当手段谋取成交。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获得本谈判文件者，应对文件进行保密，不得用作本次报价以外的任何用途。若有要求，报价后，</w:t>
      </w:r>
      <w:r>
        <w:rPr>
          <w:rFonts w:hint="eastAsia" w:hAnsi="宋体" w:cs="宋体"/>
          <w:color w:val="auto"/>
          <w:lang w:val="zh-CN" w:eastAsia="zh-CN"/>
        </w:rPr>
        <w:t>响应供应商</w:t>
      </w:r>
      <w:r>
        <w:rPr>
          <w:rFonts w:hint="eastAsia" w:ascii="宋体" w:hAnsi="宋体" w:eastAsia="宋体" w:cs="宋体"/>
          <w:color w:val="auto"/>
          <w:lang w:val="zh-CN" w:eastAsia="zh-CN"/>
        </w:rPr>
        <w:t>应归还谈判文件中保密的文件和资料。</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由采购人向</w:t>
      </w:r>
      <w:r>
        <w:rPr>
          <w:rFonts w:hint="eastAsia" w:hAnsi="宋体" w:cs="宋体"/>
          <w:color w:val="auto"/>
          <w:lang w:val="zh-CN" w:eastAsia="zh-CN"/>
        </w:rPr>
        <w:t>响应供应商</w:t>
      </w:r>
      <w:r>
        <w:rPr>
          <w:rFonts w:hint="eastAsia" w:ascii="宋体" w:hAnsi="宋体" w:eastAsia="宋体" w:cs="宋体"/>
          <w:color w:val="auto"/>
          <w:lang w:val="zh-CN" w:eastAsia="zh-CN"/>
        </w:rPr>
        <w:t>提供详细资料和所有其他资料，被视为保密资料，仅被用于它所规定的用途。除非得到采购人的同意，不能向任何第三方透露。</w:t>
      </w:r>
      <w:r>
        <w:rPr>
          <w:rFonts w:hint="eastAsia" w:hAnsi="宋体" w:cs="宋体"/>
          <w:color w:val="auto"/>
          <w:lang w:val="zh-CN" w:eastAsia="zh-CN"/>
        </w:rPr>
        <w:t>谈判</w:t>
      </w:r>
      <w:r>
        <w:rPr>
          <w:rFonts w:hint="eastAsia" w:ascii="宋体" w:hAnsi="宋体" w:eastAsia="宋体" w:cs="宋体"/>
          <w:color w:val="auto"/>
          <w:lang w:val="zh-CN" w:eastAsia="zh-CN"/>
        </w:rPr>
        <w:t>结束后，应采购人要求，</w:t>
      </w:r>
      <w:r>
        <w:rPr>
          <w:rFonts w:hint="eastAsia" w:hAnsi="宋体" w:cs="宋体"/>
          <w:color w:val="auto"/>
          <w:lang w:val="zh-CN" w:eastAsia="zh-CN"/>
        </w:rPr>
        <w:t>响应供应商</w:t>
      </w:r>
      <w:r>
        <w:rPr>
          <w:rFonts w:hint="eastAsia" w:ascii="宋体" w:hAnsi="宋体" w:eastAsia="宋体" w:cs="宋体"/>
          <w:color w:val="auto"/>
          <w:lang w:val="zh-CN" w:eastAsia="zh-CN"/>
        </w:rPr>
        <w:t>应归还所有从采购人处获得的保密资料。</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除</w:t>
      </w:r>
      <w:r>
        <w:rPr>
          <w:rFonts w:hint="eastAsia" w:hAnsi="宋体" w:cs="宋体"/>
          <w:color w:val="auto"/>
          <w:lang w:val="zh-CN" w:eastAsia="zh-CN"/>
        </w:rPr>
        <w:t>响应供应商</w:t>
      </w:r>
      <w:r>
        <w:rPr>
          <w:rFonts w:hint="eastAsia" w:ascii="宋体" w:hAnsi="宋体" w:eastAsia="宋体" w:cs="宋体"/>
          <w:color w:val="auto"/>
          <w:lang w:val="zh-CN" w:eastAsia="zh-CN"/>
        </w:rPr>
        <w:t>被要求对</w:t>
      </w:r>
      <w:r>
        <w:rPr>
          <w:rFonts w:hint="eastAsia" w:hAnsi="宋体" w:cs="宋体"/>
          <w:color w:val="auto"/>
          <w:lang w:val="zh-CN" w:eastAsia="zh-CN"/>
        </w:rPr>
        <w:t>响应文件</w:t>
      </w:r>
      <w:r>
        <w:rPr>
          <w:rFonts w:hint="eastAsia" w:ascii="宋体" w:hAnsi="宋体" w:eastAsia="宋体" w:cs="宋体"/>
          <w:color w:val="auto"/>
          <w:lang w:val="zh-CN" w:eastAsia="zh-CN"/>
        </w:rPr>
        <w:t>进行澄清外，在确定成交供应商之前，</w:t>
      </w:r>
      <w:r>
        <w:rPr>
          <w:rFonts w:hint="eastAsia" w:hAnsi="宋体" w:cs="宋体"/>
          <w:color w:val="auto"/>
          <w:lang w:val="zh-CN" w:eastAsia="zh-CN"/>
        </w:rPr>
        <w:t>响应供应商</w:t>
      </w:r>
      <w:r>
        <w:rPr>
          <w:rFonts w:hint="eastAsia" w:ascii="宋体" w:hAnsi="宋体" w:eastAsia="宋体" w:cs="宋体"/>
          <w:color w:val="auto"/>
          <w:lang w:val="zh-CN" w:eastAsia="zh-CN"/>
        </w:rPr>
        <w:t>不得与采购人就</w:t>
      </w:r>
      <w:r>
        <w:rPr>
          <w:rFonts w:hint="eastAsia" w:hAnsi="宋体" w:cs="宋体"/>
          <w:color w:val="auto"/>
          <w:lang w:val="zh-CN" w:eastAsia="zh-CN"/>
        </w:rPr>
        <w:t>响应</w:t>
      </w:r>
      <w:r>
        <w:rPr>
          <w:rFonts w:hint="eastAsia" w:ascii="宋体" w:hAnsi="宋体" w:eastAsia="宋体" w:cs="宋体"/>
          <w:color w:val="auto"/>
          <w:lang w:val="zh-CN" w:eastAsia="zh-CN"/>
        </w:rPr>
        <w:t>价格、</w:t>
      </w:r>
      <w:r>
        <w:rPr>
          <w:rFonts w:hint="eastAsia" w:hAnsi="宋体" w:cs="宋体"/>
          <w:color w:val="auto"/>
          <w:lang w:val="zh-CN" w:eastAsia="zh-CN"/>
        </w:rPr>
        <w:t>响应</w:t>
      </w:r>
      <w:r>
        <w:rPr>
          <w:rFonts w:hint="eastAsia" w:ascii="宋体" w:hAnsi="宋体" w:eastAsia="宋体" w:cs="宋体"/>
          <w:color w:val="auto"/>
          <w:lang w:val="zh-CN" w:eastAsia="zh-CN"/>
        </w:rPr>
        <w:t>方案等实质性内容进行谈判，也不得私下接触谈判小组成员。</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（5）</w:t>
      </w:r>
      <w:r>
        <w:rPr>
          <w:rFonts w:hint="eastAsia" w:ascii="宋体" w:hAnsi="宋体" w:eastAsia="宋体" w:cs="宋体"/>
          <w:color w:val="auto"/>
          <w:lang w:val="zh-CN" w:eastAsia="zh-CN"/>
        </w:rPr>
        <w:t>从递交</w:t>
      </w:r>
      <w:r>
        <w:rPr>
          <w:rFonts w:hint="eastAsia" w:hAnsi="宋体" w:cs="宋体"/>
          <w:color w:val="auto"/>
          <w:lang w:val="zh-CN" w:eastAsia="zh-CN"/>
        </w:rPr>
        <w:t>响应文件</w:t>
      </w:r>
      <w:r>
        <w:rPr>
          <w:rFonts w:hint="eastAsia" w:ascii="宋体" w:hAnsi="宋体" w:eastAsia="宋体" w:cs="宋体"/>
          <w:color w:val="auto"/>
          <w:lang w:val="zh-CN" w:eastAsia="zh-CN"/>
        </w:rPr>
        <w:t>截止之日起至授予合同期间，在</w:t>
      </w:r>
      <w:r>
        <w:rPr>
          <w:rFonts w:hint="eastAsia" w:hAnsi="宋体" w:cs="宋体"/>
          <w:color w:val="auto"/>
          <w:lang w:val="zh-CN" w:eastAsia="zh-CN"/>
        </w:rPr>
        <w:t>响应文件</w:t>
      </w:r>
      <w:r>
        <w:rPr>
          <w:rFonts w:hint="eastAsia" w:ascii="宋体" w:hAnsi="宋体" w:eastAsia="宋体" w:cs="宋体"/>
          <w:color w:val="auto"/>
          <w:lang w:val="zh-CN" w:eastAsia="zh-CN"/>
        </w:rPr>
        <w:t>的审查、澄清、比较和评价阶段，</w:t>
      </w:r>
      <w:r>
        <w:rPr>
          <w:rFonts w:hint="eastAsia" w:hAnsi="宋体" w:cs="宋体"/>
          <w:color w:val="auto"/>
          <w:lang w:val="zh-CN" w:eastAsia="zh-CN"/>
        </w:rPr>
        <w:t>响应供应商</w:t>
      </w:r>
      <w:r>
        <w:rPr>
          <w:rFonts w:hint="eastAsia" w:ascii="宋体" w:hAnsi="宋体" w:eastAsia="宋体" w:cs="宋体"/>
          <w:color w:val="auto"/>
          <w:lang w:val="zh-CN" w:eastAsia="zh-CN"/>
        </w:rPr>
        <w:t>试图对谈判小组和采购代理机构施加任何影响或对采购人的比较及授予合同的决定产生影响，都可能导致其</w:t>
      </w:r>
      <w:r>
        <w:rPr>
          <w:rFonts w:hint="eastAsia" w:hAnsi="宋体" w:cs="宋体"/>
          <w:color w:val="auto"/>
          <w:lang w:val="zh-CN" w:eastAsia="zh-CN"/>
        </w:rPr>
        <w:t>响应文件</w:t>
      </w:r>
      <w:r>
        <w:rPr>
          <w:rFonts w:hint="eastAsia" w:ascii="宋体" w:hAnsi="宋体" w:eastAsia="宋体" w:cs="宋体"/>
          <w:color w:val="auto"/>
          <w:lang w:val="zh-CN" w:eastAsia="zh-CN"/>
        </w:rPr>
        <w:t>被拒绝。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7.</w:t>
      </w:r>
      <w:r>
        <w:rPr>
          <w:rFonts w:hint="eastAsia" w:ascii="宋体" w:hAnsi="宋体" w:eastAsia="宋体" w:cs="宋体"/>
          <w:color w:val="auto"/>
          <w:lang w:val="zh-CN" w:eastAsia="zh-CN"/>
        </w:rPr>
        <w:t>进口产品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若本项目允许采购进口产品，供应商应保证所投产品可履行合法报通关手续进入中国关境内。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若本项目不允许采购进口产品，如供应商所投产品为进口产品，其响应将被认定为响应无效。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8</w:t>
      </w:r>
      <w:r>
        <w:rPr>
          <w:rFonts w:hint="eastAsia" w:ascii="宋体" w:hAnsi="宋体" w:eastAsia="宋体" w:cs="宋体"/>
          <w:color w:val="auto"/>
          <w:lang w:val="zh-CN" w:eastAsia="zh-CN"/>
        </w:rPr>
        <w:t>.语言文字以及度量衡单位</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除谈判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）除非谈判文件的技术规格中另有规定，供应商在响应文件中及其与采购人和采购代理机构的所有往来文件中的计量单位均应采用中华人民共和国法定计量单位。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）供应商所提供的货物和服务均应以人民币报价，货币单位：元。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9.</w:t>
      </w:r>
      <w:r>
        <w:rPr>
          <w:rFonts w:hint="eastAsia" w:ascii="宋体" w:hAnsi="宋体" w:eastAsia="宋体" w:cs="宋体"/>
          <w:color w:val="auto"/>
          <w:lang w:val="zh-CN" w:eastAsia="zh-CN"/>
        </w:rPr>
        <w:t>其它说明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w:t>
      </w:r>
      <w:r>
        <w:rPr>
          <w:rFonts w:hint="eastAsia" w:ascii="宋体" w:hAnsi="宋体" w:eastAsia="宋体" w:cs="宋体"/>
          <w:color w:val="auto"/>
          <w:lang w:val="zh-CN" w:eastAsia="zh-CN"/>
        </w:rPr>
        <w:t>费用：不论报价结果如何，</w:t>
      </w:r>
      <w:r>
        <w:rPr>
          <w:rFonts w:hint="eastAsia" w:hAnsi="宋体" w:cs="宋体"/>
          <w:color w:val="auto"/>
          <w:lang w:val="zh-CN" w:eastAsia="zh-CN"/>
        </w:rPr>
        <w:t>响应供应商</w:t>
      </w:r>
      <w:r>
        <w:rPr>
          <w:rFonts w:hint="eastAsia" w:ascii="宋体" w:hAnsi="宋体" w:eastAsia="宋体" w:cs="宋体"/>
          <w:color w:val="auto"/>
          <w:lang w:val="zh-CN" w:eastAsia="zh-CN"/>
        </w:rPr>
        <w:t>应承担自身因</w:t>
      </w:r>
      <w:r>
        <w:rPr>
          <w:rFonts w:hint="eastAsia" w:hAnsi="宋体" w:cs="宋体"/>
          <w:color w:val="auto"/>
          <w:lang w:val="zh-CN" w:eastAsia="zh-CN"/>
        </w:rPr>
        <w:t>响应文件</w:t>
      </w:r>
      <w:r>
        <w:rPr>
          <w:rFonts w:hint="eastAsia" w:ascii="宋体" w:hAnsi="宋体" w:eastAsia="宋体" w:cs="宋体"/>
          <w:color w:val="auto"/>
          <w:lang w:val="zh-CN" w:eastAsia="zh-CN"/>
        </w:rPr>
        <w:t>编制、递交及其他参加本谈判活动所涉及的一切费用，采购人对上述费用不负任何责任。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踏勘现场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1）</w:t>
      </w:r>
      <w:r>
        <w:rPr>
          <w:rFonts w:hint="eastAsia" w:hAnsi="宋体" w:cs="宋体"/>
          <w:color w:val="auto"/>
          <w:lang w:val="zh-CN" w:eastAsia="zh-CN"/>
        </w:rPr>
        <w:t>响应供应商</w:t>
      </w:r>
      <w:r>
        <w:rPr>
          <w:rFonts w:hint="eastAsia" w:ascii="宋体" w:hAnsi="宋体" w:eastAsia="宋体" w:cs="宋体"/>
          <w:color w:val="auto"/>
          <w:lang w:val="zh-CN" w:eastAsia="zh-CN"/>
        </w:rPr>
        <w:t>应按本《报价须知前附表》所述时间和要求对工程现场及周围环境进行踏勘，</w:t>
      </w:r>
      <w:r>
        <w:rPr>
          <w:rFonts w:hint="eastAsia" w:hAnsi="宋体" w:cs="宋体"/>
          <w:color w:val="auto"/>
          <w:lang w:val="zh-CN" w:eastAsia="zh-CN"/>
        </w:rPr>
        <w:t>响应供应商</w:t>
      </w:r>
      <w:r>
        <w:rPr>
          <w:rFonts w:hint="eastAsia" w:ascii="宋体" w:hAnsi="宋体" w:eastAsia="宋体" w:cs="宋体"/>
          <w:color w:val="auto"/>
          <w:lang w:val="zh-CN" w:eastAsia="zh-CN"/>
        </w:rPr>
        <w:t>应充分重视和仔细地进行这种考察，以便获取那些须</w:t>
      </w:r>
      <w:r>
        <w:rPr>
          <w:rFonts w:hint="eastAsia" w:hAnsi="宋体" w:cs="宋体"/>
          <w:color w:val="auto"/>
          <w:lang w:val="zh-CN" w:eastAsia="zh-CN"/>
        </w:rPr>
        <w:t>响应供应商</w:t>
      </w:r>
      <w:r>
        <w:rPr>
          <w:rFonts w:hint="eastAsia" w:ascii="宋体" w:hAnsi="宋体" w:eastAsia="宋体" w:cs="宋体"/>
          <w:color w:val="auto"/>
          <w:lang w:val="zh-CN" w:eastAsia="zh-CN"/>
        </w:rPr>
        <w:t>自己负责的有关编制</w:t>
      </w:r>
      <w:r>
        <w:rPr>
          <w:rFonts w:hint="eastAsia" w:hAnsi="宋体" w:cs="宋体"/>
          <w:color w:val="auto"/>
          <w:lang w:val="zh-CN" w:eastAsia="zh-CN"/>
        </w:rPr>
        <w:t>响应文件</w:t>
      </w:r>
      <w:r>
        <w:rPr>
          <w:rFonts w:hint="eastAsia" w:ascii="宋体" w:hAnsi="宋体" w:eastAsia="宋体" w:cs="宋体"/>
          <w:color w:val="auto"/>
          <w:lang w:val="zh-CN" w:eastAsia="zh-CN"/>
        </w:rPr>
        <w:t>和签署合同所涉及现场所有的资料。一旦成交，这种考察即被认为其结果已在成交文件中得到充分反映。考察现场的费用由</w:t>
      </w:r>
      <w:r>
        <w:rPr>
          <w:rFonts w:hint="eastAsia" w:hAnsi="宋体" w:cs="宋体"/>
          <w:color w:val="auto"/>
          <w:lang w:val="zh-CN" w:eastAsia="zh-CN"/>
        </w:rPr>
        <w:t>响应供应商</w:t>
      </w:r>
      <w:r>
        <w:rPr>
          <w:rFonts w:hint="eastAsia" w:ascii="宋体" w:hAnsi="宋体" w:eastAsia="宋体" w:cs="宋体"/>
          <w:color w:val="auto"/>
          <w:lang w:val="zh-CN" w:eastAsia="zh-CN"/>
        </w:rPr>
        <w:t>自己承担。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2）采购人向</w:t>
      </w:r>
      <w:r>
        <w:rPr>
          <w:rFonts w:hint="eastAsia" w:hAnsi="宋体" w:cs="宋体"/>
          <w:color w:val="auto"/>
          <w:lang w:val="zh-CN" w:eastAsia="zh-CN"/>
        </w:rPr>
        <w:t>响应供应商</w:t>
      </w:r>
      <w:r>
        <w:rPr>
          <w:rFonts w:hint="eastAsia" w:ascii="宋体" w:hAnsi="宋体" w:eastAsia="宋体" w:cs="宋体"/>
          <w:color w:val="auto"/>
          <w:lang w:val="zh-CN" w:eastAsia="zh-CN"/>
        </w:rPr>
        <w:t>提供的有关现场的数据和资料，是采购人现有的能被</w:t>
      </w:r>
      <w:r>
        <w:rPr>
          <w:rFonts w:hint="eastAsia" w:hAnsi="宋体" w:cs="宋体"/>
          <w:color w:val="auto"/>
          <w:lang w:val="zh-CN" w:eastAsia="zh-CN"/>
        </w:rPr>
        <w:t>响应供应商</w:t>
      </w:r>
      <w:r>
        <w:rPr>
          <w:rFonts w:hint="eastAsia" w:ascii="宋体" w:hAnsi="宋体" w:eastAsia="宋体" w:cs="宋体"/>
          <w:color w:val="auto"/>
          <w:lang w:val="zh-CN" w:eastAsia="zh-CN"/>
        </w:rPr>
        <w:t>利用的资料，采购人对</w:t>
      </w:r>
      <w:r>
        <w:rPr>
          <w:rFonts w:hint="eastAsia" w:hAnsi="宋体" w:cs="宋体"/>
          <w:color w:val="auto"/>
          <w:lang w:val="zh-CN" w:eastAsia="zh-CN"/>
        </w:rPr>
        <w:t>响应供应商</w:t>
      </w:r>
      <w:r>
        <w:rPr>
          <w:rFonts w:hint="eastAsia" w:ascii="宋体" w:hAnsi="宋体" w:eastAsia="宋体" w:cs="宋体"/>
          <w:color w:val="auto"/>
          <w:lang w:val="zh-CN" w:eastAsia="zh-CN"/>
        </w:rPr>
        <w:t>做出的任何推论、理解和结论均不负责任。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3）经采购人允许，</w:t>
      </w:r>
      <w:r>
        <w:rPr>
          <w:rFonts w:hint="eastAsia" w:hAnsi="宋体" w:cs="宋体"/>
          <w:color w:val="auto"/>
          <w:lang w:val="zh-CN" w:eastAsia="zh-CN"/>
        </w:rPr>
        <w:t>响应供应商</w:t>
      </w:r>
      <w:r>
        <w:rPr>
          <w:rFonts w:hint="eastAsia" w:ascii="宋体" w:hAnsi="宋体" w:eastAsia="宋体" w:cs="宋体"/>
          <w:color w:val="auto"/>
          <w:lang w:val="zh-CN" w:eastAsia="zh-CN"/>
        </w:rPr>
        <w:t>可为踏勘目的进入采购人的项目现场。在考察过程中，</w:t>
      </w:r>
      <w:r>
        <w:rPr>
          <w:rFonts w:hint="eastAsia" w:hAnsi="宋体" w:cs="宋体"/>
          <w:color w:val="auto"/>
          <w:lang w:val="zh-CN" w:eastAsia="zh-CN"/>
        </w:rPr>
        <w:t>响应供应商</w:t>
      </w:r>
      <w:r>
        <w:rPr>
          <w:rFonts w:hint="eastAsia" w:ascii="宋体" w:hAnsi="宋体" w:eastAsia="宋体" w:cs="宋体"/>
          <w:color w:val="auto"/>
          <w:lang w:val="zh-CN" w:eastAsia="zh-CN"/>
        </w:rPr>
        <w:t>及其代表必须承担那些进入现场后，由于他们的行为所造成的人身伤害（不管是否致命）、财产损失或损坏，以及其他任何原因造成的损失、损坏或费用，</w:t>
      </w:r>
      <w:r>
        <w:rPr>
          <w:rFonts w:hint="eastAsia" w:hAnsi="宋体" w:cs="宋体"/>
          <w:color w:val="auto"/>
          <w:lang w:val="zh-CN" w:eastAsia="zh-CN"/>
        </w:rPr>
        <w:t>响应供应商</w:t>
      </w:r>
      <w:r>
        <w:rPr>
          <w:rFonts w:hint="eastAsia" w:ascii="宋体" w:hAnsi="宋体" w:eastAsia="宋体" w:cs="宋体"/>
          <w:color w:val="auto"/>
          <w:lang w:val="zh-CN" w:eastAsia="zh-CN"/>
        </w:rPr>
        <w:t>不得因此使采购人承担有关的责任和蒙受损失。</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bookmarkStart w:id="32" w:name="_Toc382926893"/>
      <w:bookmarkStart w:id="33" w:name="_Toc382840842"/>
      <w:r>
        <w:rPr>
          <w:rFonts w:hint="eastAsia" w:ascii="宋体" w:hAnsi="宋体" w:eastAsia="宋体" w:cs="宋体"/>
          <w:b/>
          <w:bCs/>
          <w:color w:val="auto"/>
          <w:lang w:val="zh-CN" w:eastAsia="zh-CN"/>
        </w:rPr>
        <w:t>三、谈判文件</w:t>
      </w:r>
      <w:bookmarkEnd w:id="32"/>
      <w:bookmarkEnd w:id="33"/>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谈判文件的构成</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）谈判文件包括：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第一篇</w:t>
      </w:r>
      <w:r>
        <w:rPr>
          <w:rFonts w:hint="eastAsia" w:ascii="宋体" w:hAnsi="宋体" w:eastAsia="宋体" w:cs="宋体"/>
          <w:color w:val="auto"/>
          <w:lang w:val="zh-CN" w:eastAsia="zh-CN"/>
        </w:rPr>
        <w:tab/>
      </w:r>
      <w:r>
        <w:rPr>
          <w:rFonts w:hint="eastAsia" w:hAnsi="宋体" w:cs="宋体"/>
          <w:color w:val="auto"/>
          <w:lang w:val="zh-CN" w:eastAsia="zh-CN"/>
        </w:rPr>
        <w:t>谈判邀请</w:t>
      </w:r>
      <w:r>
        <w:rPr>
          <w:rFonts w:hint="eastAsia" w:ascii="宋体" w:hAnsi="宋体" w:eastAsia="宋体" w:cs="宋体"/>
          <w:color w:val="auto"/>
          <w:lang w:val="zh-CN" w:eastAsia="zh-CN"/>
        </w:rPr>
        <w:t>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第二篇</w:t>
      </w:r>
      <w:r>
        <w:rPr>
          <w:rFonts w:hint="eastAsia" w:ascii="宋体" w:hAnsi="宋体" w:eastAsia="宋体" w:cs="宋体"/>
          <w:color w:val="auto"/>
          <w:lang w:val="zh-CN" w:eastAsia="zh-CN"/>
        </w:rPr>
        <w:tab/>
      </w:r>
      <w:r>
        <w:rPr>
          <w:rFonts w:hint="eastAsia" w:hAnsi="宋体" w:cs="宋体"/>
          <w:color w:val="auto"/>
          <w:lang w:val="zh-CN" w:eastAsia="zh-CN"/>
        </w:rPr>
        <w:t>响应供应商</w:t>
      </w:r>
      <w:r>
        <w:rPr>
          <w:rFonts w:hint="eastAsia" w:ascii="宋体" w:hAnsi="宋体" w:eastAsia="宋体" w:cs="宋体"/>
          <w:color w:val="auto"/>
          <w:lang w:val="zh-CN" w:eastAsia="zh-CN"/>
        </w:rPr>
        <w:t>须知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第三篇</w:t>
      </w:r>
      <w:r>
        <w:rPr>
          <w:rFonts w:hint="eastAsia" w:ascii="宋体" w:hAnsi="宋体" w:eastAsia="宋体" w:cs="宋体"/>
          <w:color w:val="auto"/>
          <w:lang w:val="zh-CN" w:eastAsia="zh-CN"/>
        </w:rPr>
        <w:tab/>
      </w:r>
      <w:r>
        <w:rPr>
          <w:rFonts w:hint="eastAsia" w:hAnsi="宋体" w:cs="宋体"/>
          <w:color w:val="auto"/>
          <w:lang w:val="zh-CN" w:eastAsia="zh-CN"/>
        </w:rPr>
        <w:t>用户需求书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第四篇</w:t>
      </w:r>
      <w:r>
        <w:rPr>
          <w:rFonts w:hint="eastAsia" w:ascii="宋体" w:hAnsi="宋体" w:eastAsia="宋体" w:cs="宋体"/>
          <w:color w:val="auto"/>
          <w:lang w:val="zh-CN" w:eastAsia="zh-CN"/>
        </w:rPr>
        <w:tab/>
      </w:r>
      <w:r>
        <w:rPr>
          <w:rFonts w:hint="eastAsia" w:hAnsi="宋体" w:cs="宋体"/>
          <w:color w:val="auto"/>
          <w:lang w:val="zh-CN" w:eastAsia="zh-CN"/>
        </w:rPr>
        <w:t>评审大纲</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hAnsi="宋体" w:cs="宋体"/>
          <w:color w:val="auto"/>
          <w:lang w:val="zh-CN" w:eastAsia="zh-CN"/>
        </w:rPr>
        <w:t>第五篇</w:t>
      </w:r>
      <w:r>
        <w:rPr>
          <w:rFonts w:hint="eastAsia" w:hAnsi="宋体" w:cs="宋体"/>
          <w:color w:val="auto"/>
          <w:lang w:val="en-US" w:eastAsia="zh-CN"/>
        </w:rPr>
        <w:t xml:space="preserve"> </w:t>
      </w:r>
      <w:r>
        <w:rPr>
          <w:rFonts w:hint="eastAsia" w:ascii="宋体" w:hAnsi="宋体" w:eastAsia="宋体" w:cs="宋体"/>
          <w:color w:val="auto"/>
          <w:lang w:val="zh-CN" w:eastAsia="zh-CN"/>
        </w:rPr>
        <w:t>合同条款格式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w:t>
      </w:r>
      <w:r>
        <w:rPr>
          <w:rFonts w:hint="eastAsia" w:hAnsi="宋体" w:cs="宋体"/>
          <w:color w:val="auto"/>
          <w:lang w:val="zh-CN" w:eastAsia="zh-CN"/>
        </w:rPr>
        <w:t>六</w:t>
      </w:r>
      <w:r>
        <w:rPr>
          <w:rFonts w:hint="eastAsia" w:ascii="宋体" w:hAnsi="宋体" w:eastAsia="宋体" w:cs="宋体"/>
          <w:color w:val="auto"/>
          <w:lang w:val="zh-CN" w:eastAsia="zh-CN"/>
        </w:rPr>
        <w:t>篇</w:t>
      </w:r>
      <w:r>
        <w:rPr>
          <w:rFonts w:hint="eastAsia" w:ascii="宋体" w:hAnsi="宋体" w:eastAsia="宋体" w:cs="宋体"/>
          <w:color w:val="auto"/>
          <w:lang w:val="zh-CN" w:eastAsia="zh-CN"/>
        </w:rPr>
        <w:tab/>
      </w:r>
      <w:r>
        <w:rPr>
          <w:rFonts w:hint="eastAsia" w:hAnsi="宋体" w:cs="宋体"/>
          <w:color w:val="auto"/>
          <w:lang w:val="zh-CN" w:eastAsia="zh-CN"/>
        </w:rPr>
        <w:t>响应文件</w:t>
      </w:r>
      <w:r>
        <w:rPr>
          <w:rFonts w:hint="eastAsia" w:ascii="宋体" w:hAnsi="宋体" w:eastAsia="宋体" w:cs="宋体"/>
          <w:color w:val="auto"/>
          <w:lang w:val="zh-CN" w:eastAsia="zh-CN"/>
        </w:rPr>
        <w:t>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应认真阅读、并充分理解谈判文件的全部内容（包括所有的补充、修改内容、重要事项、格式、条款和技术规范、参数及要求等）。</w:t>
      </w:r>
      <w:r>
        <w:rPr>
          <w:rFonts w:hint="eastAsia" w:hAnsi="宋体" w:cs="宋体"/>
          <w:color w:val="auto"/>
          <w:lang w:val="zh-CN" w:eastAsia="zh-CN"/>
        </w:rPr>
        <w:t>响应供应商</w:t>
      </w:r>
      <w:r>
        <w:rPr>
          <w:rFonts w:hint="eastAsia" w:ascii="宋体" w:hAnsi="宋体" w:eastAsia="宋体" w:cs="宋体"/>
          <w:color w:val="auto"/>
          <w:lang w:val="zh-CN" w:eastAsia="zh-CN"/>
        </w:rPr>
        <w:t>没有按照谈判文件要求提交全部资料，或者</w:t>
      </w:r>
      <w:r>
        <w:rPr>
          <w:rFonts w:hint="eastAsia" w:hAnsi="宋体" w:cs="宋体"/>
          <w:color w:val="auto"/>
          <w:lang w:val="zh-CN" w:eastAsia="zh-CN"/>
        </w:rPr>
        <w:t>响应</w:t>
      </w:r>
      <w:r>
        <w:rPr>
          <w:rFonts w:hint="eastAsia" w:ascii="宋体" w:hAnsi="宋体" w:eastAsia="宋体" w:cs="宋体"/>
          <w:color w:val="auto"/>
          <w:lang w:val="zh-CN" w:eastAsia="zh-CN"/>
        </w:rPr>
        <w:t>报价没有对谈判文件在各方面都做出实质性响应是</w:t>
      </w:r>
      <w:r>
        <w:rPr>
          <w:rFonts w:hint="eastAsia" w:hAnsi="宋体" w:cs="宋体"/>
          <w:color w:val="auto"/>
          <w:lang w:val="zh-CN" w:eastAsia="zh-CN"/>
        </w:rPr>
        <w:t>响应供应商</w:t>
      </w:r>
      <w:r>
        <w:rPr>
          <w:rFonts w:hint="eastAsia" w:ascii="宋体" w:hAnsi="宋体" w:eastAsia="宋体" w:cs="宋体"/>
          <w:color w:val="auto"/>
          <w:lang w:val="zh-CN" w:eastAsia="zh-CN"/>
        </w:rPr>
        <w:t>的风险，有可能导致其</w:t>
      </w:r>
      <w:r>
        <w:rPr>
          <w:rFonts w:hint="eastAsia" w:hAnsi="宋体" w:cs="宋体"/>
          <w:color w:val="auto"/>
          <w:lang w:val="zh-CN" w:eastAsia="zh-CN"/>
        </w:rPr>
        <w:t>响应</w:t>
      </w:r>
      <w:r>
        <w:rPr>
          <w:rFonts w:hint="eastAsia" w:ascii="宋体" w:hAnsi="宋体" w:eastAsia="宋体" w:cs="宋体"/>
          <w:color w:val="auto"/>
          <w:lang w:val="zh-CN" w:eastAsia="zh-CN"/>
        </w:rPr>
        <w:t>报价被拒绝，或被认定为无效</w:t>
      </w:r>
      <w:r>
        <w:rPr>
          <w:rFonts w:hint="eastAsia" w:hAnsi="宋体" w:cs="宋体"/>
          <w:color w:val="auto"/>
          <w:lang w:val="zh-CN" w:eastAsia="zh-CN"/>
        </w:rPr>
        <w:t>响应</w:t>
      </w:r>
      <w:r>
        <w:rPr>
          <w:rFonts w:hint="eastAsia" w:ascii="宋体" w:hAnsi="宋体" w:eastAsia="宋体" w:cs="宋体"/>
          <w:color w:val="auto"/>
          <w:lang w:val="zh-CN" w:eastAsia="zh-CN"/>
        </w:rPr>
        <w:t>报价或被确定为</w:t>
      </w:r>
      <w:r>
        <w:rPr>
          <w:rFonts w:hint="eastAsia" w:hAnsi="宋体" w:cs="宋体"/>
          <w:color w:val="auto"/>
          <w:lang w:val="zh-CN" w:eastAsia="zh-CN"/>
        </w:rPr>
        <w:t>响应</w:t>
      </w:r>
      <w:r>
        <w:rPr>
          <w:rFonts w:hint="eastAsia" w:ascii="宋体" w:hAnsi="宋体" w:eastAsia="宋体" w:cs="宋体"/>
          <w:color w:val="auto"/>
          <w:lang w:val="zh-CN" w:eastAsia="zh-CN"/>
        </w:rPr>
        <w:t>报价无效。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）知识产权</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hAnsi="宋体" w:cs="宋体"/>
          <w:color w:val="auto"/>
          <w:lang w:val="zh-CN" w:eastAsia="zh-CN"/>
        </w:rPr>
        <w:t>响应供应商</w:t>
      </w:r>
      <w:r>
        <w:rPr>
          <w:rFonts w:hint="eastAsia" w:ascii="宋体" w:hAnsi="宋体" w:eastAsia="宋体" w:cs="宋体"/>
          <w:color w:val="auto"/>
          <w:lang w:val="zh-CN" w:eastAsia="zh-CN"/>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hAnsi="宋体" w:cs="宋体"/>
          <w:color w:val="auto"/>
          <w:lang w:val="zh-CN" w:eastAsia="zh-CN"/>
        </w:rPr>
        <w:t>响应供应商</w:t>
      </w:r>
      <w:r>
        <w:rPr>
          <w:rFonts w:hint="eastAsia" w:ascii="宋体" w:hAnsi="宋体" w:eastAsia="宋体" w:cs="宋体"/>
          <w:color w:val="auto"/>
          <w:lang w:val="zh-CN" w:eastAsia="zh-CN"/>
        </w:rPr>
        <w:t>不拥有相应的知识产权，则在报价中必须包括合法获取该知识产权的一切相关费用。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谈判文件的澄清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对本谈判文件如有技术和商务的疑问，请按</w:t>
      </w:r>
      <w:r>
        <w:rPr>
          <w:rFonts w:hint="eastAsia" w:hAnsi="宋体" w:cs="宋体"/>
          <w:color w:val="auto"/>
          <w:lang w:val="zh-CN" w:eastAsia="zh-CN"/>
        </w:rPr>
        <w:t>谈判邀请</w:t>
      </w:r>
      <w:r>
        <w:rPr>
          <w:rFonts w:hint="eastAsia" w:ascii="宋体" w:hAnsi="宋体" w:eastAsia="宋体" w:cs="宋体"/>
          <w:color w:val="auto"/>
          <w:lang w:val="zh-CN" w:eastAsia="zh-CN"/>
        </w:rPr>
        <w:t>书中载明的地址以书面形式向采购代理机构提出澄清要求, 采购代理机构对在递交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日前收到的任何澄清要求以书面形式予以答复。超出上述截止时间提出的任何疑问，采购代理机构可不予答复。</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）根据需要，采购代理机构和采购人可组织相关专家在《报价须知前附表》规定的时间和地点召开答疑会，解答</w:t>
      </w:r>
      <w:r>
        <w:rPr>
          <w:rFonts w:hint="eastAsia" w:hAnsi="宋体" w:cs="宋体"/>
          <w:color w:val="auto"/>
          <w:lang w:val="zh-CN" w:eastAsia="zh-CN"/>
        </w:rPr>
        <w:t>响应供应商</w:t>
      </w:r>
      <w:r>
        <w:rPr>
          <w:rFonts w:hint="eastAsia" w:ascii="宋体" w:hAnsi="宋体" w:eastAsia="宋体" w:cs="宋体"/>
          <w:color w:val="auto"/>
          <w:lang w:val="zh-CN" w:eastAsia="zh-CN"/>
        </w:rPr>
        <w:t>在此之前以书面或当场提出的对谈判文件的澄清要求，随后以书面形式通知本谈判文件的所有收受人。答疑或澄清文件作为谈判文件的组成部分，如与谈判文件的内容不一致的，以答疑或澄清文件的内容为准。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在规定的时间内未对谈判文件澄清或提出疑问的，采购代理机构和采购人将视其为无异议。对谈判文件中描述有歧意或前后不一致的地方，谈判小组有权进行评判，但对同一条款的评判应适用于每个</w:t>
      </w:r>
      <w:r>
        <w:rPr>
          <w:rFonts w:hint="eastAsia" w:hAnsi="宋体" w:cs="宋体"/>
          <w:color w:val="auto"/>
          <w:lang w:val="zh-CN" w:eastAsia="zh-CN"/>
        </w:rPr>
        <w:t>响应供应商</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）谈判过程中的一切修改文件或补充文件一旦确认后与谈判文件具有同等法律效力，</w:t>
      </w:r>
      <w:r>
        <w:rPr>
          <w:rFonts w:hint="eastAsia" w:hAnsi="宋体" w:cs="宋体"/>
          <w:color w:val="auto"/>
          <w:lang w:val="zh-CN" w:eastAsia="zh-CN"/>
        </w:rPr>
        <w:t>响应供应商</w:t>
      </w:r>
      <w:r>
        <w:rPr>
          <w:rFonts w:hint="eastAsia" w:ascii="宋体" w:hAnsi="宋体" w:eastAsia="宋体" w:cs="宋体"/>
          <w:color w:val="auto"/>
          <w:lang w:val="zh-CN" w:eastAsia="zh-CN"/>
        </w:rPr>
        <w:t>有责任履行相应的义务。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谈判文件的修改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）在递交</w:t>
      </w:r>
      <w:r>
        <w:rPr>
          <w:rFonts w:hint="eastAsia" w:hAnsi="宋体" w:cs="宋体"/>
          <w:color w:val="auto"/>
          <w:lang w:val="zh-CN" w:eastAsia="zh-CN"/>
        </w:rPr>
        <w:t>响应文件</w:t>
      </w:r>
      <w:r>
        <w:rPr>
          <w:rFonts w:hint="eastAsia" w:ascii="宋体" w:hAnsi="宋体" w:eastAsia="宋体" w:cs="宋体"/>
          <w:color w:val="auto"/>
          <w:lang w:val="zh-CN" w:eastAsia="zh-CN"/>
        </w:rPr>
        <w:t>截止日期前的任何时候，无论何故，采购代理机构可主动地或在答复</w:t>
      </w:r>
      <w:r>
        <w:rPr>
          <w:rFonts w:hint="eastAsia" w:hAnsi="宋体" w:cs="宋体"/>
          <w:color w:val="auto"/>
          <w:lang w:val="zh-CN" w:eastAsia="zh-CN"/>
        </w:rPr>
        <w:t>响应供应商</w:t>
      </w:r>
      <w:r>
        <w:rPr>
          <w:rFonts w:hint="eastAsia" w:ascii="宋体" w:hAnsi="宋体" w:eastAsia="宋体" w:cs="宋体"/>
          <w:color w:val="auto"/>
          <w:lang w:val="zh-CN" w:eastAsia="zh-CN"/>
        </w:rPr>
        <w:t>提出澄清的问题时对谈判文件进行修改。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）谈判文件的修改将以书面函件形式通知所有购买谈判文件的</w:t>
      </w:r>
      <w:r>
        <w:rPr>
          <w:rFonts w:hint="eastAsia" w:hAnsi="宋体" w:cs="宋体"/>
          <w:color w:val="auto"/>
          <w:lang w:val="zh-CN" w:eastAsia="zh-CN"/>
        </w:rPr>
        <w:t>响应供应商</w:t>
      </w:r>
      <w:r>
        <w:rPr>
          <w:rFonts w:hint="eastAsia" w:ascii="宋体" w:hAnsi="宋体" w:eastAsia="宋体" w:cs="宋体"/>
          <w:color w:val="auto"/>
          <w:lang w:val="zh-CN" w:eastAsia="zh-CN"/>
        </w:rPr>
        <w:t>，并对其具有约束力。</w:t>
      </w:r>
      <w:r>
        <w:rPr>
          <w:rFonts w:hint="eastAsia" w:hAnsi="宋体" w:cs="宋体"/>
          <w:color w:val="auto"/>
          <w:lang w:val="zh-CN" w:eastAsia="zh-CN"/>
        </w:rPr>
        <w:t>响应供应商</w:t>
      </w:r>
      <w:r>
        <w:rPr>
          <w:rFonts w:hint="eastAsia" w:ascii="宋体" w:hAnsi="宋体" w:eastAsia="宋体" w:cs="宋体"/>
          <w:color w:val="auto"/>
          <w:lang w:val="zh-CN" w:eastAsia="zh-CN"/>
        </w:rPr>
        <w:t>在收到上述通知后24小时内应立即以书面形式（应加盖公章）向采购代理机构确认，逾期不提交书面确认的，视为已确认。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）为使</w:t>
      </w:r>
      <w:r>
        <w:rPr>
          <w:rFonts w:hint="eastAsia" w:hAnsi="宋体" w:cs="宋体"/>
          <w:color w:val="auto"/>
          <w:lang w:val="zh-CN" w:eastAsia="zh-CN"/>
        </w:rPr>
        <w:t>响应供应商</w:t>
      </w:r>
      <w:r>
        <w:rPr>
          <w:rFonts w:hint="eastAsia" w:ascii="宋体" w:hAnsi="宋体" w:eastAsia="宋体" w:cs="宋体"/>
          <w:color w:val="auto"/>
          <w:lang w:val="zh-CN" w:eastAsia="zh-CN"/>
        </w:rPr>
        <w:t>在准备</w:t>
      </w:r>
      <w:r>
        <w:rPr>
          <w:rFonts w:hint="eastAsia" w:hAnsi="宋体" w:cs="宋体"/>
          <w:color w:val="auto"/>
          <w:lang w:val="zh-CN" w:eastAsia="zh-CN"/>
        </w:rPr>
        <w:t>响应文件</w:t>
      </w:r>
      <w:r>
        <w:rPr>
          <w:rFonts w:hint="eastAsia" w:ascii="宋体" w:hAnsi="宋体" w:eastAsia="宋体" w:cs="宋体"/>
          <w:color w:val="auto"/>
          <w:lang w:val="zh-CN" w:eastAsia="zh-CN"/>
        </w:rPr>
        <w:t>时有合理的时间考虑谈判文件的修改，采购代理机构可酌情推迟本项目递交</w:t>
      </w:r>
      <w:r>
        <w:rPr>
          <w:rFonts w:hint="eastAsia" w:hAnsi="宋体" w:cs="宋体"/>
          <w:color w:val="auto"/>
          <w:lang w:val="zh-CN" w:eastAsia="zh-CN"/>
        </w:rPr>
        <w:t>响应文件</w:t>
      </w:r>
      <w:r>
        <w:rPr>
          <w:rFonts w:hint="eastAsia" w:ascii="宋体" w:hAnsi="宋体" w:eastAsia="宋体" w:cs="宋体"/>
          <w:color w:val="auto"/>
          <w:lang w:val="zh-CN" w:eastAsia="zh-CN"/>
        </w:rPr>
        <w:t>截止日期，但应发布公告并书面通知所有购买谈判文件的潜在</w:t>
      </w:r>
      <w:r>
        <w:rPr>
          <w:rFonts w:hint="eastAsia" w:hAnsi="宋体" w:cs="宋体"/>
          <w:color w:val="auto"/>
          <w:lang w:val="zh-CN" w:eastAsia="zh-CN"/>
        </w:rPr>
        <w:t>响应供应商</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bookmarkStart w:id="34" w:name="_Toc382840843"/>
      <w:bookmarkStart w:id="35" w:name="_Toc382926894"/>
      <w:r>
        <w:rPr>
          <w:rFonts w:hint="eastAsia" w:ascii="宋体" w:hAnsi="宋体" w:eastAsia="宋体" w:cs="宋体"/>
          <w:b/>
          <w:bCs/>
          <w:color w:val="auto"/>
          <w:lang w:val="zh-CN" w:eastAsia="zh-CN"/>
        </w:rPr>
        <w:t>四、</w:t>
      </w:r>
      <w:r>
        <w:rPr>
          <w:rFonts w:hint="eastAsia" w:hAnsi="宋体" w:cs="宋体"/>
          <w:b/>
          <w:bCs/>
          <w:color w:val="auto"/>
          <w:lang w:val="zh-CN" w:eastAsia="zh-CN"/>
        </w:rPr>
        <w:t>响应文件</w:t>
      </w:r>
      <w:r>
        <w:rPr>
          <w:rFonts w:hint="eastAsia" w:ascii="宋体" w:hAnsi="宋体" w:eastAsia="宋体" w:cs="宋体"/>
          <w:b/>
          <w:bCs/>
          <w:color w:val="auto"/>
          <w:lang w:val="zh-CN" w:eastAsia="zh-CN"/>
        </w:rPr>
        <w:tab/>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响应文件</w:t>
      </w:r>
      <w:r>
        <w:rPr>
          <w:rFonts w:hint="eastAsia" w:ascii="宋体" w:hAnsi="宋体" w:eastAsia="宋体" w:cs="宋体"/>
          <w:color w:val="auto"/>
          <w:lang w:val="zh-CN" w:eastAsia="zh-CN"/>
        </w:rPr>
        <w:t>的编制</w:t>
      </w:r>
      <w:bookmarkEnd w:id="34"/>
      <w:bookmarkEnd w:id="35"/>
      <w:r>
        <w:rPr>
          <w:rFonts w:hint="eastAsia" w:ascii="宋体" w:hAnsi="宋体" w:eastAsia="宋体" w:cs="宋体"/>
          <w:color w:val="auto"/>
          <w:lang w:val="zh-CN" w:eastAsia="zh-CN"/>
        </w:rPr>
        <w:t>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响应供应商</w:t>
      </w:r>
      <w:r>
        <w:rPr>
          <w:rFonts w:hint="eastAsia" w:ascii="宋体" w:hAnsi="宋体" w:eastAsia="宋体" w:cs="宋体"/>
          <w:color w:val="auto"/>
          <w:lang w:val="zh-CN" w:eastAsia="zh-CN"/>
        </w:rPr>
        <w:t>应仔细阅读谈判文件的所有内容，并按谈判文件的规定及附件要求的内容和格式，提交完整的</w:t>
      </w:r>
      <w:r>
        <w:rPr>
          <w:rFonts w:hint="eastAsia" w:hAnsi="宋体" w:cs="宋体"/>
          <w:color w:val="auto"/>
          <w:lang w:val="zh-CN" w:eastAsia="zh-CN"/>
        </w:rPr>
        <w:t>响应文件</w:t>
      </w:r>
      <w:r>
        <w:rPr>
          <w:rFonts w:hint="eastAsia" w:ascii="宋体" w:hAnsi="宋体" w:eastAsia="宋体" w:cs="宋体"/>
          <w:color w:val="auto"/>
          <w:lang w:val="zh-CN" w:eastAsia="zh-CN"/>
        </w:rPr>
        <w:t>，并保证所提供全部资料的真实性，所有不完整的报价将被拒绝。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hAnsi="宋体" w:cs="宋体"/>
          <w:color w:val="auto"/>
          <w:lang w:val="zh-CN" w:eastAsia="zh-CN"/>
        </w:rPr>
        <w:t>响应文件</w:t>
      </w:r>
      <w:r>
        <w:rPr>
          <w:rFonts w:hint="eastAsia" w:ascii="宋体" w:hAnsi="宋体" w:eastAsia="宋体" w:cs="宋体"/>
          <w:color w:val="auto"/>
          <w:lang w:val="zh-CN" w:eastAsia="zh-CN"/>
        </w:rPr>
        <w:t>使用的度量衡单位采用中华人民共和国法定计量单位。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hAnsi="宋体" w:cs="宋体"/>
          <w:color w:val="auto"/>
          <w:lang w:val="zh-CN" w:eastAsia="zh-CN"/>
        </w:rPr>
        <w:t>响应供应商</w:t>
      </w:r>
      <w:r>
        <w:rPr>
          <w:rFonts w:hint="eastAsia" w:ascii="宋体" w:hAnsi="宋体" w:eastAsia="宋体" w:cs="宋体"/>
          <w:color w:val="auto"/>
          <w:lang w:val="zh-CN" w:eastAsia="zh-CN"/>
        </w:rPr>
        <w:t>提交的</w:t>
      </w:r>
      <w:r>
        <w:rPr>
          <w:rFonts w:hint="eastAsia" w:hAnsi="宋体" w:cs="宋体"/>
          <w:color w:val="auto"/>
          <w:lang w:val="zh-CN" w:eastAsia="zh-CN"/>
        </w:rPr>
        <w:t>响应文件</w:t>
      </w:r>
      <w:r>
        <w:rPr>
          <w:rFonts w:hint="eastAsia" w:ascii="宋体" w:hAnsi="宋体" w:eastAsia="宋体" w:cs="宋体"/>
          <w:color w:val="auto"/>
          <w:lang w:val="zh-CN" w:eastAsia="zh-CN"/>
        </w:rPr>
        <w:t>以及</w:t>
      </w:r>
      <w:r>
        <w:rPr>
          <w:rFonts w:hint="eastAsia" w:hAnsi="宋体" w:cs="宋体"/>
          <w:color w:val="auto"/>
          <w:lang w:val="zh-CN" w:eastAsia="zh-CN"/>
        </w:rPr>
        <w:t>响应供应商</w:t>
      </w:r>
      <w:r>
        <w:rPr>
          <w:rFonts w:hint="eastAsia" w:ascii="宋体" w:hAnsi="宋体" w:eastAsia="宋体" w:cs="宋体"/>
          <w:color w:val="auto"/>
          <w:lang w:val="zh-CN" w:eastAsia="zh-CN"/>
        </w:rPr>
        <w:t>与采购代理机构就有关报价的所有来往函电均应使用中文。</w:t>
      </w:r>
      <w:r>
        <w:rPr>
          <w:rFonts w:hint="eastAsia" w:hAnsi="宋体" w:cs="宋体"/>
          <w:color w:val="auto"/>
          <w:lang w:val="zh-CN" w:eastAsia="zh-CN"/>
        </w:rPr>
        <w:t>响应供应商</w:t>
      </w:r>
      <w:r>
        <w:rPr>
          <w:rFonts w:hint="eastAsia" w:ascii="宋体" w:hAnsi="宋体" w:eastAsia="宋体" w:cs="宋体"/>
          <w:color w:val="auto"/>
          <w:lang w:val="zh-CN" w:eastAsia="zh-CN"/>
        </w:rPr>
        <w:t>提交的支持文件或印刷的资料可以用另一种语言，但相应内容应附有中文翻译本，对不同文字文本</w:t>
      </w:r>
      <w:r>
        <w:rPr>
          <w:rFonts w:hint="eastAsia" w:hAnsi="宋体" w:cs="宋体"/>
          <w:color w:val="auto"/>
          <w:lang w:val="zh-CN" w:eastAsia="zh-CN"/>
        </w:rPr>
        <w:t>响应文件</w:t>
      </w:r>
      <w:r>
        <w:rPr>
          <w:rFonts w:hint="eastAsia" w:ascii="宋体" w:hAnsi="宋体" w:eastAsia="宋体" w:cs="宋体"/>
          <w:color w:val="auto"/>
          <w:lang w:val="zh-CN" w:eastAsia="zh-CN"/>
        </w:rPr>
        <w:t>的解释发生异议的，以中文文本为准。对中文翻译有异议的，以权威机构的译本为准。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hAnsi="宋体" w:cs="宋体"/>
          <w:color w:val="auto"/>
          <w:lang w:val="en-US" w:eastAsia="zh-CN"/>
        </w:rPr>
        <w:t>响应文件</w:t>
      </w:r>
      <w:r>
        <w:rPr>
          <w:rFonts w:hint="eastAsia" w:ascii="宋体" w:hAnsi="宋体" w:eastAsia="宋体" w:cs="宋体"/>
          <w:color w:val="auto"/>
          <w:lang w:val="en-US" w:eastAsia="zh-CN"/>
        </w:rPr>
        <w:t>的响应</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w:t>
      </w:r>
      <w:r>
        <w:rPr>
          <w:rFonts w:hint="eastAsia" w:ascii="宋体" w:hAnsi="宋体" w:eastAsia="宋体" w:cs="宋体"/>
          <w:color w:val="auto"/>
          <w:lang w:val="zh-CN" w:eastAsia="zh-CN"/>
        </w:rPr>
        <w:t>供应商须对谈判文件的对应要求给予唯一的实质性响应，否则将视为不响应。</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）谈判文件中，如标有“★”的条款均为必须完全满足指标，</w:t>
      </w:r>
      <w:r>
        <w:rPr>
          <w:rFonts w:hint="eastAsia" w:hAnsi="宋体" w:cs="宋体"/>
          <w:color w:val="auto"/>
          <w:lang w:val="zh-CN" w:eastAsia="zh-CN"/>
        </w:rPr>
        <w:t>响应供应商</w:t>
      </w:r>
      <w:r>
        <w:rPr>
          <w:rFonts w:hint="eastAsia" w:ascii="宋体" w:hAnsi="宋体" w:eastAsia="宋体" w:cs="宋体"/>
          <w:color w:val="auto"/>
          <w:lang w:val="zh-CN" w:eastAsia="zh-CN"/>
        </w:rPr>
        <w:t>须进行实质性响应，</w:t>
      </w:r>
      <w:r>
        <w:rPr>
          <w:rFonts w:hint="eastAsia" w:hAnsi="宋体" w:cs="宋体"/>
          <w:color w:val="auto"/>
          <w:lang w:val="zh-CN" w:eastAsia="zh-CN"/>
        </w:rPr>
        <w:t>响应供应商</w:t>
      </w:r>
      <w:r>
        <w:rPr>
          <w:rFonts w:hint="eastAsia" w:ascii="宋体" w:hAnsi="宋体" w:eastAsia="宋体" w:cs="宋体"/>
          <w:color w:val="auto"/>
          <w:lang w:val="zh-CN" w:eastAsia="zh-CN"/>
        </w:rPr>
        <w:t>若有一项带“★”的条款未响应或不满足，将按无效</w:t>
      </w:r>
      <w:r>
        <w:rPr>
          <w:rFonts w:hint="eastAsia" w:hAnsi="宋体" w:cs="宋体"/>
          <w:color w:val="auto"/>
          <w:lang w:val="zh-CN" w:eastAsia="zh-CN"/>
        </w:rPr>
        <w:t>响应</w:t>
      </w:r>
      <w:r>
        <w:rPr>
          <w:rFonts w:hint="eastAsia" w:ascii="宋体" w:hAnsi="宋体" w:eastAsia="宋体" w:cs="宋体"/>
          <w:color w:val="auto"/>
          <w:lang w:val="zh-CN" w:eastAsia="zh-CN"/>
        </w:rPr>
        <w:t>报价处理。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）谈判文件中，如标有“▲”的条款均为评审的重要评分指标，</w:t>
      </w:r>
      <w:r>
        <w:rPr>
          <w:rFonts w:hint="eastAsia" w:hAnsi="宋体" w:cs="宋体"/>
          <w:color w:val="auto"/>
          <w:lang w:val="zh-CN" w:eastAsia="zh-CN"/>
        </w:rPr>
        <w:t>响应供应商</w:t>
      </w:r>
      <w:r>
        <w:rPr>
          <w:rFonts w:hint="eastAsia" w:ascii="宋体" w:hAnsi="宋体" w:eastAsia="宋体" w:cs="宋体"/>
          <w:color w:val="auto"/>
          <w:lang w:val="zh-CN" w:eastAsia="zh-CN"/>
        </w:rPr>
        <w:t>若有部分“▲”条款未响应或不满足，将导致其响应性评审严重扣分。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w:t>
      </w:r>
      <w:r>
        <w:rPr>
          <w:rFonts w:hint="eastAsia" w:hAnsi="宋体" w:cs="宋体"/>
          <w:color w:val="auto"/>
          <w:lang w:val="zh-CN" w:eastAsia="zh-CN"/>
        </w:rPr>
        <w:t>响应</w:t>
      </w:r>
      <w:r>
        <w:rPr>
          <w:rFonts w:hint="eastAsia" w:ascii="宋体" w:hAnsi="宋体" w:eastAsia="宋体" w:cs="宋体"/>
          <w:color w:val="auto"/>
          <w:lang w:val="zh-CN" w:eastAsia="zh-CN"/>
        </w:rPr>
        <w:t>供应商不得将同一个项目或同一个采购包的内容拆开响应，否则其响应将被视为非实质性响应。</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5</w:t>
      </w:r>
      <w:r>
        <w:rPr>
          <w:rFonts w:hint="eastAsia" w:ascii="宋体" w:hAnsi="宋体" w:eastAsia="宋体" w:cs="宋体"/>
          <w:color w:val="auto"/>
          <w:lang w:val="zh-CN" w:eastAsia="zh-CN"/>
        </w:rPr>
        <w:t>）如有对多个采购包响应的，要对每个采购包独立制作电子响应文件。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6</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应对报价内容提供完整的、详细的、清晰的技术说明，如</w:t>
      </w:r>
      <w:r>
        <w:rPr>
          <w:rFonts w:hint="eastAsia" w:hAnsi="宋体" w:cs="宋体"/>
          <w:color w:val="auto"/>
          <w:lang w:val="zh-CN" w:eastAsia="zh-CN"/>
        </w:rPr>
        <w:t>响应供应商</w:t>
      </w:r>
      <w:r>
        <w:rPr>
          <w:rFonts w:hint="eastAsia" w:ascii="宋体" w:hAnsi="宋体" w:eastAsia="宋体" w:cs="宋体"/>
          <w:color w:val="auto"/>
          <w:lang w:val="zh-CN" w:eastAsia="zh-CN"/>
        </w:rPr>
        <w:t>对指定的技术要求建议做任何改动，应在</w:t>
      </w:r>
      <w:r>
        <w:rPr>
          <w:rFonts w:hint="eastAsia" w:hAnsi="宋体" w:cs="宋体"/>
          <w:color w:val="auto"/>
          <w:lang w:val="zh-CN" w:eastAsia="zh-CN"/>
        </w:rPr>
        <w:t>响应文件</w:t>
      </w:r>
      <w:r>
        <w:rPr>
          <w:rFonts w:hint="eastAsia" w:ascii="宋体" w:hAnsi="宋体" w:eastAsia="宋体" w:cs="宋体"/>
          <w:color w:val="auto"/>
          <w:lang w:val="zh-CN" w:eastAsia="zh-CN"/>
        </w:rPr>
        <w:t>中清楚地注明；</w:t>
      </w:r>
      <w:r>
        <w:rPr>
          <w:rFonts w:hint="eastAsia" w:hAnsi="宋体" w:cs="宋体"/>
          <w:color w:val="auto"/>
          <w:lang w:val="zh-CN" w:eastAsia="zh-CN"/>
        </w:rPr>
        <w:t>响应供应商</w:t>
      </w:r>
      <w:r>
        <w:rPr>
          <w:rFonts w:hint="eastAsia" w:ascii="宋体" w:hAnsi="宋体" w:eastAsia="宋体" w:cs="宋体"/>
          <w:color w:val="auto"/>
          <w:lang w:val="zh-CN" w:eastAsia="zh-CN"/>
        </w:rPr>
        <w:t>对谈判文件的对应要求应当给予唯一的实质性响应，否则将视为不响应。</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7</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响应谈判需求应具体、明确，含糊不清、不确切，或伪造、变造证明材料的，按照不完全响应或完全不响应处理。构成提供虚假材料的，移送监管部门查处。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8</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对谈判文件的商务合同不允许实质性偏离，否则将视为不响应。</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9</w:t>
      </w:r>
      <w:r>
        <w:rPr>
          <w:rFonts w:hint="eastAsia" w:ascii="宋体" w:hAnsi="宋体" w:eastAsia="宋体" w:cs="宋体"/>
          <w:color w:val="auto"/>
          <w:lang w:val="zh-CN" w:eastAsia="zh-CN"/>
        </w:rPr>
        <w:t>）资格文件视为</w:t>
      </w:r>
      <w:r>
        <w:rPr>
          <w:rFonts w:hint="eastAsia" w:hAnsi="宋体" w:cs="宋体"/>
          <w:color w:val="auto"/>
          <w:lang w:val="zh-CN" w:eastAsia="zh-CN"/>
        </w:rPr>
        <w:t>响应文件</w:t>
      </w:r>
      <w:r>
        <w:rPr>
          <w:rFonts w:hint="eastAsia" w:ascii="宋体" w:hAnsi="宋体" w:eastAsia="宋体" w:cs="宋体"/>
          <w:color w:val="auto"/>
          <w:lang w:val="zh-CN" w:eastAsia="zh-CN"/>
        </w:rPr>
        <w:t>不可分割的一部分，</w:t>
      </w:r>
      <w:r>
        <w:rPr>
          <w:rFonts w:hint="eastAsia" w:hAnsi="宋体" w:cs="宋体"/>
          <w:color w:val="auto"/>
          <w:lang w:val="zh-CN" w:eastAsia="zh-CN"/>
        </w:rPr>
        <w:t>响应供应商</w:t>
      </w:r>
      <w:r>
        <w:rPr>
          <w:rFonts w:hint="eastAsia" w:ascii="宋体" w:hAnsi="宋体" w:eastAsia="宋体" w:cs="宋体"/>
          <w:color w:val="auto"/>
          <w:lang w:val="zh-CN" w:eastAsia="zh-CN"/>
        </w:rPr>
        <w:t>应在报价截止时间前提供相关证件、证明文件的复印件和</w:t>
      </w:r>
      <w:r>
        <w:rPr>
          <w:rFonts w:hint="eastAsia" w:hAnsi="宋体" w:cs="宋体"/>
          <w:color w:val="auto"/>
          <w:lang w:val="zh-CN" w:eastAsia="zh-CN"/>
        </w:rPr>
        <w:t>响应文件</w:t>
      </w:r>
      <w:r>
        <w:rPr>
          <w:rFonts w:hint="eastAsia" w:ascii="宋体" w:hAnsi="宋体" w:eastAsia="宋体" w:cs="宋体"/>
          <w:color w:val="auto"/>
          <w:lang w:val="zh-CN" w:eastAsia="zh-CN"/>
        </w:rPr>
        <w:t>要求提交的原件，否则，谈判小组有权不予采信。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10</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按规定加盖的</w:t>
      </w:r>
      <w:r>
        <w:rPr>
          <w:rFonts w:hint="eastAsia" w:hAnsi="宋体" w:cs="宋体"/>
          <w:color w:val="auto"/>
          <w:lang w:val="zh-CN" w:eastAsia="zh-CN"/>
        </w:rPr>
        <w:t>响应供应商</w:t>
      </w:r>
      <w:r>
        <w:rPr>
          <w:rFonts w:hint="eastAsia" w:ascii="宋体" w:hAnsi="宋体" w:eastAsia="宋体" w:cs="宋体"/>
          <w:color w:val="auto"/>
          <w:lang w:val="zh-CN" w:eastAsia="zh-CN"/>
        </w:rPr>
        <w:t>公章必须为企业法人公章，且与</w:t>
      </w:r>
      <w:r>
        <w:rPr>
          <w:rFonts w:hint="eastAsia" w:hAnsi="宋体" w:cs="宋体"/>
          <w:color w:val="auto"/>
          <w:lang w:val="zh-CN" w:eastAsia="zh-CN"/>
        </w:rPr>
        <w:t>响应供应商</w:t>
      </w:r>
      <w:r>
        <w:rPr>
          <w:rFonts w:hint="eastAsia" w:ascii="宋体" w:hAnsi="宋体" w:eastAsia="宋体" w:cs="宋体"/>
          <w:color w:val="auto"/>
          <w:lang w:val="zh-CN" w:eastAsia="zh-CN"/>
        </w:rPr>
        <w:t>名称一致，不能以其它业务章或附属机构章代替。需签名之处必须由当事人亲笔签署。</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hAnsi="宋体" w:cs="宋体"/>
          <w:color w:val="auto"/>
          <w:lang w:val="zh-CN" w:eastAsia="zh-CN"/>
        </w:rPr>
        <w:t>响应文件</w:t>
      </w:r>
      <w:r>
        <w:rPr>
          <w:rFonts w:hint="eastAsia" w:ascii="宋体" w:hAnsi="宋体" w:eastAsia="宋体" w:cs="宋体"/>
          <w:color w:val="auto"/>
          <w:lang w:val="zh-CN" w:eastAsia="zh-CN"/>
        </w:rPr>
        <w:t>的组成</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由自查表、商务技术文件、经济文件组成，三部分合编成一本文件。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第一节</w:t>
      </w:r>
      <w:r>
        <w:rPr>
          <w:rFonts w:hint="eastAsia" w:ascii="宋体" w:hAnsi="宋体" w:eastAsia="宋体" w:cs="宋体"/>
          <w:color w:val="auto"/>
          <w:lang w:val="en-US" w:eastAsia="zh-CN"/>
        </w:rPr>
        <w:t xml:space="preserve">  </w:t>
      </w:r>
      <w:r>
        <w:rPr>
          <w:rFonts w:hint="eastAsia" w:ascii="宋体" w:hAnsi="宋体" w:eastAsia="宋体" w:cs="宋体"/>
          <w:color w:val="auto"/>
          <w:lang w:val="zh-CN" w:eastAsia="zh-CN"/>
        </w:rPr>
        <w:t>自查表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第二节</w:t>
      </w:r>
      <w:r>
        <w:rPr>
          <w:rFonts w:hint="eastAsia" w:ascii="宋体" w:hAnsi="宋体" w:eastAsia="宋体" w:cs="宋体"/>
          <w:color w:val="auto"/>
          <w:lang w:val="en-US" w:eastAsia="zh-CN"/>
        </w:rPr>
        <w:t xml:space="preserve">  </w:t>
      </w:r>
      <w:r>
        <w:rPr>
          <w:rFonts w:hint="eastAsia" w:ascii="宋体" w:hAnsi="宋体" w:eastAsia="宋体" w:cs="宋体"/>
          <w:color w:val="auto"/>
          <w:lang w:val="zh-CN" w:eastAsia="zh-CN"/>
        </w:rPr>
        <w:t>商务文件（格式见第五篇</w:t>
      </w:r>
      <w:r>
        <w:rPr>
          <w:rFonts w:hint="eastAsia" w:hAnsi="宋体" w:cs="宋体"/>
          <w:color w:val="auto"/>
          <w:lang w:val="zh-CN" w:eastAsia="zh-CN"/>
        </w:rPr>
        <w:t>响应文件</w:t>
      </w:r>
      <w:r>
        <w:rPr>
          <w:rFonts w:hint="eastAsia" w:ascii="宋体" w:hAnsi="宋体" w:eastAsia="宋体" w:cs="宋体"/>
          <w:color w:val="auto"/>
          <w:lang w:val="zh-CN" w:eastAsia="zh-CN"/>
        </w:rPr>
        <w:t>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第二节</w:t>
      </w:r>
      <w:r>
        <w:rPr>
          <w:rFonts w:hint="eastAsia" w:ascii="宋体" w:hAnsi="宋体" w:eastAsia="宋体" w:cs="宋体"/>
          <w:color w:val="auto"/>
          <w:lang w:val="en-US" w:eastAsia="zh-CN"/>
        </w:rPr>
        <w:t xml:space="preserve">  </w:t>
      </w:r>
      <w:r>
        <w:rPr>
          <w:rFonts w:hint="eastAsia" w:ascii="宋体" w:hAnsi="宋体" w:eastAsia="宋体" w:cs="宋体"/>
          <w:color w:val="auto"/>
          <w:lang w:val="zh-CN" w:eastAsia="zh-CN"/>
        </w:rPr>
        <w:t>技术文件（格式见第五篇</w:t>
      </w:r>
      <w:r>
        <w:rPr>
          <w:rFonts w:hint="eastAsia" w:hAnsi="宋体" w:cs="宋体"/>
          <w:color w:val="auto"/>
          <w:lang w:val="zh-CN" w:eastAsia="zh-CN"/>
        </w:rPr>
        <w:t>响应文件</w:t>
      </w:r>
      <w:r>
        <w:rPr>
          <w:rFonts w:hint="eastAsia" w:ascii="宋体" w:hAnsi="宋体" w:eastAsia="宋体" w:cs="宋体"/>
          <w:color w:val="auto"/>
          <w:lang w:val="zh-CN" w:eastAsia="zh-CN"/>
        </w:rPr>
        <w:t>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w:t>
      </w:r>
      <w:r>
        <w:rPr>
          <w:rFonts w:hint="eastAsia" w:hAnsi="宋体" w:cs="宋体"/>
          <w:color w:val="auto"/>
          <w:lang w:val="zh-CN" w:eastAsia="zh-CN"/>
        </w:rPr>
        <w:t>四</w:t>
      </w:r>
      <w:r>
        <w:rPr>
          <w:rFonts w:hint="eastAsia" w:ascii="宋体" w:hAnsi="宋体" w:eastAsia="宋体" w:cs="宋体"/>
          <w:color w:val="auto"/>
          <w:lang w:val="zh-CN" w:eastAsia="zh-CN"/>
        </w:rPr>
        <w:t>节</w:t>
      </w:r>
      <w:r>
        <w:rPr>
          <w:rFonts w:hint="eastAsia" w:ascii="宋体" w:hAnsi="宋体" w:eastAsia="宋体" w:cs="宋体"/>
          <w:color w:val="auto"/>
          <w:lang w:val="en-US" w:eastAsia="zh-CN"/>
        </w:rPr>
        <w:t xml:space="preserve">  </w:t>
      </w:r>
      <w:r>
        <w:rPr>
          <w:rFonts w:hint="eastAsia" w:ascii="宋体" w:hAnsi="宋体" w:eastAsia="宋体" w:cs="宋体"/>
          <w:color w:val="auto"/>
          <w:lang w:val="zh-CN" w:eastAsia="zh-CN"/>
        </w:rPr>
        <w:t>经济文件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第</w:t>
      </w:r>
      <w:r>
        <w:rPr>
          <w:rFonts w:hint="eastAsia" w:hAnsi="宋体" w:cs="宋体"/>
          <w:color w:val="auto"/>
          <w:lang w:val="zh-CN" w:eastAsia="zh-CN"/>
        </w:rPr>
        <w:t>五</w:t>
      </w:r>
      <w:r>
        <w:rPr>
          <w:rFonts w:hint="eastAsia" w:ascii="宋体" w:hAnsi="宋体" w:eastAsia="宋体" w:cs="宋体"/>
          <w:color w:val="auto"/>
          <w:lang w:val="zh-CN" w:eastAsia="zh-CN"/>
        </w:rPr>
        <w:t>节</w:t>
      </w:r>
      <w:r>
        <w:rPr>
          <w:rFonts w:hint="eastAsia" w:ascii="宋体" w:hAnsi="宋体" w:eastAsia="宋体" w:cs="宋体"/>
          <w:color w:val="auto"/>
          <w:lang w:val="en-US" w:eastAsia="zh-CN"/>
        </w:rPr>
        <w:t xml:space="preserve">  </w:t>
      </w:r>
      <w:r>
        <w:rPr>
          <w:rFonts w:hint="eastAsia" w:ascii="宋体" w:hAnsi="宋体" w:eastAsia="宋体" w:cs="宋体"/>
          <w:color w:val="auto"/>
          <w:lang w:val="zh-CN" w:eastAsia="zh-CN"/>
        </w:rPr>
        <w:t>其他</w:t>
      </w:r>
      <w:r>
        <w:rPr>
          <w:rFonts w:hint="eastAsia" w:hAnsi="宋体" w:cs="宋体"/>
          <w:color w:val="auto"/>
          <w:lang w:val="zh-CN" w:eastAsia="zh-CN"/>
        </w:rPr>
        <w:t>响应文件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唱标信封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）报价函（加盖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）投标报价总表（加盖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）法定代表人证明书及法定代表人授权证明书（原件）；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）电子文件（含经济文件、商务技术文件, 其他</w:t>
      </w:r>
      <w:r>
        <w:rPr>
          <w:rFonts w:hint="eastAsia" w:hAnsi="宋体" w:cs="宋体"/>
          <w:color w:val="auto"/>
          <w:lang w:val="zh-CN" w:eastAsia="zh-CN"/>
        </w:rPr>
        <w:t>响应文件</w:t>
      </w:r>
      <w:r>
        <w:rPr>
          <w:rFonts w:hint="eastAsia" w:ascii="宋体" w:hAnsi="宋体" w:eastAsia="宋体" w:cs="宋体"/>
          <w:color w:val="auto"/>
          <w:lang w:val="zh-CN" w:eastAsia="zh-CN"/>
        </w:rPr>
        <w:t>采用CD－R光盘或U盘装载，其中经济部分需用MS office的excel格式提供。）</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hAnsi="宋体" w:cs="宋体"/>
          <w:color w:val="auto"/>
          <w:lang w:val="zh-CN" w:eastAsia="zh-CN"/>
        </w:rPr>
        <w:t>响应供应商</w:t>
      </w:r>
      <w:r>
        <w:rPr>
          <w:rFonts w:hint="eastAsia" w:ascii="宋体" w:hAnsi="宋体" w:eastAsia="宋体" w:cs="宋体"/>
          <w:color w:val="auto"/>
          <w:lang w:val="zh-CN" w:eastAsia="zh-CN"/>
        </w:rPr>
        <w:t>编制</w:t>
      </w:r>
      <w:r>
        <w:rPr>
          <w:rFonts w:hint="eastAsia" w:hAnsi="宋体" w:cs="宋体"/>
          <w:color w:val="auto"/>
          <w:lang w:val="zh-CN" w:eastAsia="zh-CN"/>
        </w:rPr>
        <w:t>响应文件</w:t>
      </w:r>
      <w:r>
        <w:rPr>
          <w:rFonts w:hint="eastAsia" w:ascii="宋体" w:hAnsi="宋体" w:eastAsia="宋体" w:cs="宋体"/>
          <w:color w:val="auto"/>
          <w:lang w:val="zh-CN" w:eastAsia="zh-CN"/>
        </w:rPr>
        <w:t>必须包括但不限于上述内容。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报价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）本次谈判必须对该项目的全部内容进行报价，少报漏报将导致其无效。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报价总价是以</w:t>
      </w:r>
      <w:r>
        <w:rPr>
          <w:rFonts w:hint="eastAsia" w:hAnsi="宋体" w:cs="宋体"/>
          <w:color w:val="auto"/>
          <w:lang w:val="zh-CN" w:eastAsia="zh-CN"/>
        </w:rPr>
        <w:t>响应供应商</w:t>
      </w:r>
      <w:r>
        <w:rPr>
          <w:rFonts w:hint="eastAsia" w:ascii="宋体" w:hAnsi="宋体" w:eastAsia="宋体" w:cs="宋体"/>
          <w:color w:val="auto"/>
          <w:lang w:val="zh-CN" w:eastAsia="zh-CN"/>
        </w:rPr>
        <w:t>可独立完成本项目，并在通过准确核算后，可满足预期实施效果、验收标准和符合自身合法利益的前提下所作出的综合性合理最终含税报价，对在</w:t>
      </w:r>
      <w:r>
        <w:rPr>
          <w:rFonts w:hint="eastAsia" w:hAnsi="宋体" w:cs="宋体"/>
          <w:color w:val="auto"/>
          <w:lang w:val="zh-CN" w:eastAsia="zh-CN"/>
        </w:rPr>
        <w:t>响应文件</w:t>
      </w:r>
      <w:r>
        <w:rPr>
          <w:rFonts w:hint="eastAsia" w:ascii="宋体" w:hAnsi="宋体" w:eastAsia="宋体" w:cs="宋体"/>
          <w:color w:val="auto"/>
          <w:lang w:val="zh-CN" w:eastAsia="zh-CN"/>
        </w:rPr>
        <w:t>和合同书中未有明确列述、报价方案设计遗漏失误、市场剧变、汇率、利率因素和不可预见的费用等均视为已完全考虑到并包括在报价总价之内。</w:t>
      </w:r>
      <w:r>
        <w:rPr>
          <w:rFonts w:hint="eastAsia" w:hAnsi="宋体" w:cs="宋体"/>
          <w:color w:val="auto"/>
          <w:lang w:val="zh-CN" w:eastAsia="zh-CN"/>
        </w:rPr>
        <w:t>响应供应商</w:t>
      </w:r>
      <w:r>
        <w:rPr>
          <w:rFonts w:hint="eastAsia" w:ascii="宋体" w:hAnsi="宋体" w:eastAsia="宋体" w:cs="宋体"/>
          <w:color w:val="auto"/>
          <w:lang w:val="zh-CN" w:eastAsia="zh-CN"/>
        </w:rPr>
        <w:t>应自行增加项目正常、合法、安全运行及使用所必需但谈判文件没有列明或包含的内容及费用，并在</w:t>
      </w:r>
      <w:r>
        <w:rPr>
          <w:rFonts w:hint="eastAsia" w:hAnsi="宋体" w:cs="宋体"/>
          <w:color w:val="auto"/>
          <w:lang w:val="zh-CN" w:eastAsia="zh-CN"/>
        </w:rPr>
        <w:t>响应文件</w:t>
      </w:r>
      <w:r>
        <w:rPr>
          <w:rFonts w:hint="eastAsia" w:ascii="宋体" w:hAnsi="宋体" w:eastAsia="宋体" w:cs="宋体"/>
          <w:color w:val="auto"/>
          <w:lang w:val="zh-CN" w:eastAsia="zh-CN"/>
        </w:rPr>
        <w:t>中加以详细说明，如果</w:t>
      </w:r>
      <w:r>
        <w:rPr>
          <w:rFonts w:hint="eastAsia" w:hAnsi="宋体" w:cs="宋体"/>
          <w:color w:val="auto"/>
          <w:lang w:val="zh-CN" w:eastAsia="zh-CN"/>
        </w:rPr>
        <w:t>响应供应商</w:t>
      </w:r>
      <w:r>
        <w:rPr>
          <w:rFonts w:hint="eastAsia" w:ascii="宋体" w:hAnsi="宋体" w:eastAsia="宋体" w:cs="宋体"/>
          <w:color w:val="auto"/>
          <w:lang w:val="zh-CN" w:eastAsia="zh-CN"/>
        </w:rPr>
        <w:t>在成交并签署合同后，在提供谈判范围内的服务工作中出现的任何遗漏，均由成交供应商免费提供，采购人将不再支付任何费用。对超出常规、具有特别意义或会引起竞争非议的报价须作出特别说明。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）报价不是唯一的或不是固定不变的</w:t>
      </w:r>
      <w:r>
        <w:rPr>
          <w:rFonts w:hint="eastAsia" w:hAnsi="宋体" w:cs="宋体"/>
          <w:color w:val="auto"/>
          <w:lang w:val="zh-CN" w:eastAsia="zh-CN"/>
        </w:rPr>
        <w:t>响应文件</w:t>
      </w:r>
      <w:r>
        <w:rPr>
          <w:rFonts w:hint="eastAsia" w:ascii="宋体" w:hAnsi="宋体" w:eastAsia="宋体" w:cs="宋体"/>
          <w:color w:val="auto"/>
          <w:lang w:val="zh-CN" w:eastAsia="zh-CN"/>
        </w:rPr>
        <w:t>将被作为非响应性报价而予以拒绝。</w:t>
      </w:r>
      <w:r>
        <w:rPr>
          <w:rFonts w:hint="eastAsia" w:hAnsi="宋体" w:cs="宋体"/>
          <w:color w:val="auto"/>
          <w:lang w:val="zh-CN" w:eastAsia="zh-CN"/>
        </w:rPr>
        <w:t>响应供应商</w:t>
      </w:r>
      <w:r>
        <w:rPr>
          <w:rFonts w:hint="eastAsia" w:ascii="宋体" w:hAnsi="宋体" w:eastAsia="宋体" w:cs="宋体"/>
          <w:color w:val="auto"/>
          <w:lang w:val="zh-CN" w:eastAsia="zh-CN"/>
        </w:rPr>
        <w:t>所报的报价在合同执行期间是固定不变的，</w:t>
      </w:r>
      <w:r>
        <w:rPr>
          <w:rFonts w:hint="eastAsia" w:hAnsi="宋体" w:cs="宋体"/>
          <w:color w:val="auto"/>
          <w:lang w:val="zh-CN" w:eastAsia="zh-CN"/>
        </w:rPr>
        <w:t>响应供应商</w:t>
      </w:r>
      <w:r>
        <w:rPr>
          <w:rFonts w:hint="eastAsia" w:ascii="宋体" w:hAnsi="宋体" w:eastAsia="宋体" w:cs="宋体"/>
          <w:color w:val="auto"/>
          <w:lang w:val="zh-CN" w:eastAsia="zh-CN"/>
        </w:rPr>
        <w:t>不得以任何理由予以变更。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）合同项下，买方需要的货物（或服务）和附带备品、配件所需的费用，如果</w:t>
      </w:r>
      <w:r>
        <w:rPr>
          <w:rFonts w:hint="eastAsia" w:hAnsi="宋体" w:cs="宋体"/>
          <w:color w:val="auto"/>
          <w:lang w:val="zh-CN" w:eastAsia="zh-CN"/>
        </w:rPr>
        <w:t>响应供应商</w:t>
      </w:r>
      <w:r>
        <w:rPr>
          <w:rFonts w:hint="eastAsia" w:ascii="宋体" w:hAnsi="宋体" w:eastAsia="宋体" w:cs="宋体"/>
          <w:color w:val="auto"/>
          <w:lang w:val="zh-CN" w:eastAsia="zh-CN"/>
        </w:rPr>
        <w:t>是另外单独报价的，评分时计入报价总价。确定成交供应商后，在合同规定的承包范围内成交供应商不得以任何理由追加设备费用、辅材费用或其他费用。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5</w:t>
      </w:r>
      <w:r>
        <w:rPr>
          <w:rFonts w:hint="eastAsia" w:ascii="宋体" w:hAnsi="宋体" w:eastAsia="宋体" w:cs="宋体"/>
          <w:color w:val="auto"/>
          <w:lang w:val="zh-CN" w:eastAsia="zh-CN"/>
        </w:rPr>
        <w:t>）本次谈判实行“最高限价”制度。</w:t>
      </w:r>
      <w:r>
        <w:rPr>
          <w:rFonts w:hint="eastAsia" w:hAnsi="宋体" w:cs="宋体"/>
          <w:color w:val="auto"/>
          <w:lang w:val="zh-CN" w:eastAsia="zh-CN"/>
        </w:rPr>
        <w:t>响应供应商</w:t>
      </w:r>
      <w:r>
        <w:rPr>
          <w:rFonts w:hint="eastAsia" w:ascii="宋体" w:hAnsi="宋体" w:eastAsia="宋体" w:cs="宋体"/>
          <w:color w:val="auto"/>
          <w:lang w:val="zh-CN" w:eastAsia="zh-CN"/>
        </w:rPr>
        <w:t>的报价高于采购预算的，该</w:t>
      </w:r>
      <w:r>
        <w:rPr>
          <w:rFonts w:hint="eastAsia" w:hAnsi="宋体" w:cs="宋体"/>
          <w:color w:val="auto"/>
          <w:lang w:val="zh-CN" w:eastAsia="zh-CN"/>
        </w:rPr>
        <w:t>响应供应商</w:t>
      </w:r>
      <w:r>
        <w:rPr>
          <w:rFonts w:hint="eastAsia" w:ascii="宋体" w:hAnsi="宋体" w:eastAsia="宋体" w:cs="宋体"/>
          <w:color w:val="auto"/>
          <w:lang w:val="zh-CN" w:eastAsia="zh-CN"/>
        </w:rPr>
        <w:t>的</w:t>
      </w:r>
      <w:r>
        <w:rPr>
          <w:rFonts w:hint="eastAsia" w:hAnsi="宋体" w:cs="宋体"/>
          <w:color w:val="auto"/>
          <w:lang w:val="zh-CN" w:eastAsia="zh-CN"/>
        </w:rPr>
        <w:t>响应文件</w:t>
      </w:r>
      <w:r>
        <w:rPr>
          <w:rFonts w:hint="eastAsia" w:ascii="宋体" w:hAnsi="宋体" w:eastAsia="宋体" w:cs="宋体"/>
          <w:color w:val="auto"/>
          <w:lang w:val="zh-CN" w:eastAsia="zh-CN"/>
        </w:rPr>
        <w:t>将被视为非响应性报价予以废标。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6</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必须以人民币报价，以其它货币标价的报价将予以拒绝。</w:t>
      </w:r>
      <w:r>
        <w:rPr>
          <w:rFonts w:hint="eastAsia" w:hAnsi="宋体" w:cs="宋体"/>
          <w:color w:val="auto"/>
          <w:lang w:val="zh-CN" w:eastAsia="zh-CN"/>
        </w:rPr>
        <w:t>响应文件</w:t>
      </w:r>
      <w:r>
        <w:rPr>
          <w:rFonts w:hint="eastAsia" w:ascii="宋体" w:hAnsi="宋体" w:eastAsia="宋体" w:cs="宋体"/>
          <w:color w:val="auto"/>
          <w:lang w:val="zh-CN" w:eastAsia="zh-CN"/>
        </w:rPr>
        <w:t>中开标一览表（报价表）内容与</w:t>
      </w:r>
      <w:r>
        <w:rPr>
          <w:rFonts w:hint="eastAsia" w:hAnsi="宋体" w:cs="宋体"/>
          <w:color w:val="auto"/>
          <w:lang w:val="zh-CN" w:eastAsia="zh-CN"/>
        </w:rPr>
        <w:t>响应文件</w:t>
      </w:r>
      <w:r>
        <w:rPr>
          <w:rFonts w:hint="eastAsia" w:ascii="宋体" w:hAnsi="宋体" w:eastAsia="宋体" w:cs="宋体"/>
          <w:color w:val="auto"/>
          <w:lang w:val="zh-CN" w:eastAsia="zh-CN"/>
        </w:rPr>
        <w:t>中相应内容不一致的，以开标一览表（报价表）为准；</w:t>
      </w:r>
      <w:r>
        <w:rPr>
          <w:rFonts w:hint="eastAsia" w:hAnsi="宋体" w:cs="宋体"/>
          <w:color w:val="auto"/>
          <w:lang w:val="zh-CN" w:eastAsia="zh-CN"/>
        </w:rPr>
        <w:t>响应文件</w:t>
      </w:r>
      <w:r>
        <w:rPr>
          <w:rFonts w:hint="eastAsia" w:ascii="宋体" w:hAnsi="宋体" w:eastAsia="宋体" w:cs="宋体"/>
          <w:color w:val="auto"/>
          <w:lang w:val="zh-CN" w:eastAsia="zh-CN"/>
        </w:rPr>
        <w:t>的大写金额和小写金额不一致的，以大写金额为准；总价金额与按单价汇总金额不一致的，以单价金额计算结果为准；单价金额小数点或者百分比有明显错位的，以开标一览表的总价为准，并修改单价。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5.</w:t>
      </w:r>
      <w:r>
        <w:rPr>
          <w:rFonts w:hint="eastAsia" w:ascii="宋体" w:hAnsi="宋体" w:eastAsia="宋体" w:cs="宋体"/>
          <w:color w:val="auto"/>
          <w:lang w:val="zh-CN" w:eastAsia="zh-CN"/>
        </w:rPr>
        <w:t>证明</w:t>
      </w:r>
      <w:r>
        <w:rPr>
          <w:rFonts w:hint="eastAsia" w:hAnsi="宋体" w:cs="宋体"/>
          <w:color w:val="auto"/>
          <w:lang w:val="zh-CN" w:eastAsia="zh-CN"/>
        </w:rPr>
        <w:t>响应供应商</w:t>
      </w:r>
      <w:r>
        <w:rPr>
          <w:rFonts w:hint="eastAsia" w:ascii="宋体" w:hAnsi="宋体" w:eastAsia="宋体" w:cs="宋体"/>
          <w:color w:val="auto"/>
          <w:lang w:val="zh-CN" w:eastAsia="zh-CN"/>
        </w:rPr>
        <w:t>的合格性的证明文件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）根据</w:t>
      </w:r>
      <w:r>
        <w:rPr>
          <w:rFonts w:hint="eastAsia" w:ascii="宋体" w:hAnsi="宋体" w:eastAsia="宋体" w:cs="宋体"/>
          <w:color w:val="auto"/>
          <w:lang w:val="zh-CN" w:eastAsia="zh-CN"/>
        </w:rPr>
        <w:fldChar w:fldCharType="begin"/>
      </w:r>
      <w:r>
        <w:rPr>
          <w:rFonts w:hint="eastAsia" w:ascii="宋体" w:hAnsi="宋体" w:eastAsia="宋体" w:cs="宋体"/>
          <w:color w:val="auto"/>
          <w:lang w:val="zh-CN" w:eastAsia="zh-CN"/>
        </w:rPr>
        <w:instrText xml:space="preserve"> HYPERLINK "file:///E:\\正在进行中\\项目正在进行中\\环保局3个项目\\1.生态环境主题日系统活动承包项目\\l" </w:instrText>
      </w:r>
      <w:r>
        <w:rPr>
          <w:rFonts w:hint="eastAsia" w:ascii="宋体" w:hAnsi="宋体" w:eastAsia="宋体" w:cs="宋体"/>
          <w:color w:val="auto"/>
          <w:lang w:val="zh-CN" w:eastAsia="zh-CN"/>
        </w:rPr>
        <w:fldChar w:fldCharType="separate"/>
      </w:r>
      <w:r>
        <w:rPr>
          <w:rFonts w:hint="eastAsia" w:ascii="宋体" w:hAnsi="宋体" w:eastAsia="宋体" w:cs="宋体"/>
          <w:color w:val="auto"/>
          <w:lang w:val="zh-CN" w:eastAsia="zh-CN"/>
        </w:rPr>
        <w:t>第13.2款</w:t>
      </w:r>
      <w:r>
        <w:rPr>
          <w:rFonts w:hint="eastAsia" w:ascii="宋体" w:hAnsi="宋体" w:eastAsia="宋体" w:cs="宋体"/>
          <w:color w:val="auto"/>
          <w:lang w:val="zh-CN" w:eastAsia="zh-CN"/>
        </w:rPr>
        <w:fldChar w:fldCharType="end"/>
      </w:r>
      <w:r>
        <w:rPr>
          <w:rFonts w:hint="eastAsia" w:ascii="宋体" w:hAnsi="宋体" w:eastAsia="宋体" w:cs="宋体"/>
          <w:color w:val="auto"/>
          <w:lang w:val="zh-CN" w:eastAsia="zh-CN"/>
        </w:rPr>
        <w:t>规定，</w:t>
      </w:r>
      <w:r>
        <w:rPr>
          <w:rFonts w:hint="eastAsia" w:hAnsi="宋体" w:cs="宋体"/>
          <w:color w:val="auto"/>
          <w:lang w:val="zh-CN" w:eastAsia="zh-CN"/>
        </w:rPr>
        <w:t>响应供应商</w:t>
      </w:r>
      <w:r>
        <w:rPr>
          <w:rFonts w:hint="eastAsia" w:ascii="宋体" w:hAnsi="宋体" w:eastAsia="宋体" w:cs="宋体"/>
          <w:color w:val="auto"/>
          <w:lang w:val="zh-CN" w:eastAsia="zh-CN"/>
        </w:rPr>
        <w:t>须提交证明其有资格进行报价和有能力履行合同的文件，作为</w:t>
      </w:r>
      <w:r>
        <w:rPr>
          <w:rFonts w:hint="eastAsia" w:hAnsi="宋体" w:cs="宋体"/>
          <w:color w:val="auto"/>
          <w:lang w:val="zh-CN" w:eastAsia="zh-CN"/>
        </w:rPr>
        <w:t>响应文件</w:t>
      </w:r>
      <w:r>
        <w:rPr>
          <w:rFonts w:hint="eastAsia" w:ascii="宋体" w:hAnsi="宋体" w:eastAsia="宋体" w:cs="宋体"/>
          <w:color w:val="auto"/>
          <w:lang w:val="zh-CN" w:eastAsia="zh-CN"/>
        </w:rPr>
        <w:t>的一部分。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提供的履行合同的资格证明文件：详见《报价须知前附表》。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6.</w:t>
      </w:r>
      <w:r>
        <w:rPr>
          <w:rFonts w:hint="eastAsia" w:ascii="宋体" w:hAnsi="宋体" w:eastAsia="宋体" w:cs="宋体"/>
          <w:color w:val="auto"/>
          <w:lang w:val="zh-CN" w:eastAsia="zh-CN"/>
        </w:rPr>
        <w:t>证明货物（或服务）的合格性并符合谈判文件规定的声明文件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须提交证明其所提供的货物（或服务）的合格性并符合谈判文件规定的声明文件，作为</w:t>
      </w:r>
      <w:r>
        <w:rPr>
          <w:rFonts w:hint="eastAsia" w:hAnsi="宋体" w:cs="宋体"/>
          <w:color w:val="auto"/>
          <w:lang w:val="zh-CN" w:eastAsia="zh-CN"/>
        </w:rPr>
        <w:t>响应文件</w:t>
      </w:r>
      <w:r>
        <w:rPr>
          <w:rFonts w:hint="eastAsia" w:ascii="宋体" w:hAnsi="宋体" w:eastAsia="宋体" w:cs="宋体"/>
          <w:color w:val="auto"/>
          <w:lang w:val="zh-CN" w:eastAsia="zh-CN"/>
        </w:rPr>
        <w:t>的一部分。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）证明货物（或服务）与谈判文件的要求相一致的文件可以是文字资料、图纸和数据资料。</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）为说明第14.1款的规定，</w:t>
      </w:r>
      <w:r>
        <w:rPr>
          <w:rFonts w:hint="eastAsia" w:hAnsi="宋体" w:cs="宋体"/>
          <w:color w:val="auto"/>
          <w:lang w:val="zh-CN" w:eastAsia="zh-CN"/>
        </w:rPr>
        <w:t>响应供应商</w:t>
      </w:r>
      <w:r>
        <w:rPr>
          <w:rFonts w:hint="eastAsia" w:ascii="宋体" w:hAnsi="宋体" w:eastAsia="宋体" w:cs="宋体"/>
          <w:color w:val="auto"/>
          <w:lang w:val="zh-CN" w:eastAsia="zh-CN"/>
        </w:rPr>
        <w:t>应注意本谈判文件在《用户需求书》中对货物（或服务）、技术要求所描述的特征或说明等仅系说明并非进行限制，</w:t>
      </w:r>
      <w:r>
        <w:rPr>
          <w:rFonts w:hint="eastAsia" w:hAnsi="宋体" w:cs="宋体"/>
          <w:color w:val="auto"/>
          <w:lang w:val="zh-CN" w:eastAsia="zh-CN"/>
        </w:rPr>
        <w:t>响应供应商</w:t>
      </w:r>
      <w:r>
        <w:rPr>
          <w:rFonts w:hint="eastAsia" w:ascii="宋体" w:hAnsi="宋体" w:eastAsia="宋体" w:cs="宋体"/>
          <w:color w:val="auto"/>
          <w:lang w:val="zh-CN" w:eastAsia="zh-CN"/>
        </w:rPr>
        <w:t>按行业技术和以往的经验，</w:t>
      </w:r>
      <w:r>
        <w:rPr>
          <w:rFonts w:hint="eastAsia" w:hAnsi="宋体" w:cs="宋体"/>
          <w:color w:val="auto"/>
          <w:lang w:val="zh-CN" w:eastAsia="zh-CN"/>
        </w:rPr>
        <w:t>响应供应商</w:t>
      </w:r>
      <w:r>
        <w:rPr>
          <w:rFonts w:hint="eastAsia" w:ascii="宋体" w:hAnsi="宋体" w:eastAsia="宋体" w:cs="宋体"/>
          <w:color w:val="auto"/>
          <w:lang w:val="zh-CN" w:eastAsia="zh-CN"/>
        </w:rPr>
        <w:t>可提出替代方案，但该替代方案应相当于或优胜于《用户需求书》中的规定，合格优质的完成谈判内容和包含的全部实际工序及货物（或服务），以使采购人满意。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7.</w:t>
      </w:r>
      <w:r>
        <w:rPr>
          <w:rFonts w:hint="eastAsia" w:hAnsi="宋体" w:cs="宋体"/>
          <w:color w:val="auto"/>
          <w:lang w:val="zh-CN" w:eastAsia="zh-CN"/>
        </w:rPr>
        <w:t>响应保证金（本项目不适用）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响应保证金</w:t>
      </w:r>
      <w:r>
        <w:rPr>
          <w:rFonts w:hint="eastAsia" w:ascii="宋体" w:hAnsi="宋体" w:eastAsia="宋体" w:cs="宋体"/>
          <w:color w:val="auto"/>
          <w:lang w:val="zh-CN" w:eastAsia="zh-CN"/>
        </w:rPr>
        <w:t>金额和缴纳方式：详见《报价须知前附表》。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响应保证金</w:t>
      </w:r>
      <w:r>
        <w:rPr>
          <w:rFonts w:hint="eastAsia" w:ascii="宋体" w:hAnsi="宋体" w:eastAsia="宋体" w:cs="宋体"/>
          <w:color w:val="auto"/>
          <w:lang w:val="zh-CN" w:eastAsia="zh-CN"/>
        </w:rPr>
        <w:t>是用于保护本次谈判免受</w:t>
      </w:r>
      <w:r>
        <w:rPr>
          <w:rFonts w:hint="eastAsia" w:hAnsi="宋体" w:cs="宋体"/>
          <w:color w:val="auto"/>
          <w:lang w:val="zh-CN" w:eastAsia="zh-CN"/>
        </w:rPr>
        <w:t>响应供应商</w:t>
      </w:r>
      <w:r>
        <w:rPr>
          <w:rFonts w:hint="eastAsia" w:ascii="宋体" w:hAnsi="宋体" w:eastAsia="宋体" w:cs="宋体"/>
          <w:color w:val="auto"/>
          <w:lang w:val="zh-CN" w:eastAsia="zh-CN"/>
        </w:rPr>
        <w:t>的行为而引起的风险，根据第15.7款规定，予以没收</w:t>
      </w:r>
      <w:r>
        <w:rPr>
          <w:rFonts w:hint="eastAsia" w:hAnsi="宋体" w:cs="宋体"/>
          <w:color w:val="auto"/>
          <w:lang w:val="zh-CN" w:eastAsia="zh-CN"/>
        </w:rPr>
        <w:t>响应保证金</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w:t>
      </w:r>
      <w:r>
        <w:rPr>
          <w:rFonts w:hint="eastAsia" w:hAnsi="宋体" w:cs="宋体"/>
          <w:color w:val="auto"/>
          <w:lang w:val="zh-CN" w:eastAsia="zh-CN"/>
        </w:rPr>
        <w:t>响应保证金</w:t>
      </w:r>
      <w:r>
        <w:rPr>
          <w:rFonts w:hint="eastAsia" w:ascii="宋体" w:hAnsi="宋体" w:eastAsia="宋体" w:cs="宋体"/>
          <w:color w:val="auto"/>
          <w:lang w:val="zh-CN" w:eastAsia="zh-CN"/>
        </w:rPr>
        <w:t>以银行转账、电汇等非现金方式（采购代理机构不接受以个人帐户、分支机构帐户转入保证金帐户的方式）提交，支付人必须为本项目</w:t>
      </w:r>
      <w:r>
        <w:rPr>
          <w:rFonts w:hint="eastAsia" w:hAnsi="宋体" w:cs="宋体"/>
          <w:color w:val="auto"/>
          <w:lang w:val="zh-CN" w:eastAsia="zh-CN"/>
        </w:rPr>
        <w:t>响应供应商</w:t>
      </w:r>
      <w:r>
        <w:rPr>
          <w:rFonts w:hint="eastAsia" w:ascii="宋体" w:hAnsi="宋体" w:eastAsia="宋体" w:cs="宋体"/>
          <w:color w:val="auto"/>
          <w:lang w:val="zh-CN" w:eastAsia="zh-CN"/>
        </w:rPr>
        <w:t>。若以银行转账、电汇方式提交时应在用途栏注明本项目项目编号+保证金，并且确保于《报价须知前附表》规定的保证金缴纳截止时间前到达指定的银行帐户（以银行到帐时间为准,汇错帐号作废标处理）。未按照上述方式提交</w:t>
      </w:r>
      <w:r>
        <w:rPr>
          <w:rFonts w:hint="eastAsia" w:hAnsi="宋体" w:cs="宋体"/>
          <w:color w:val="auto"/>
          <w:lang w:val="zh-CN" w:eastAsia="zh-CN"/>
        </w:rPr>
        <w:t>响应保证金</w:t>
      </w:r>
      <w:r>
        <w:rPr>
          <w:rFonts w:hint="eastAsia" w:ascii="宋体" w:hAnsi="宋体" w:eastAsia="宋体" w:cs="宋体"/>
          <w:color w:val="auto"/>
          <w:lang w:val="zh-CN" w:eastAsia="zh-CN"/>
        </w:rPr>
        <w:t>的，其</w:t>
      </w:r>
      <w:r>
        <w:rPr>
          <w:rFonts w:hint="eastAsia" w:hAnsi="宋体" w:cs="宋体"/>
          <w:color w:val="auto"/>
          <w:lang w:val="zh-CN" w:eastAsia="zh-CN"/>
        </w:rPr>
        <w:t>响应文件</w:t>
      </w:r>
      <w:r>
        <w:rPr>
          <w:rFonts w:hint="eastAsia" w:ascii="宋体" w:hAnsi="宋体" w:eastAsia="宋体" w:cs="宋体"/>
          <w:color w:val="auto"/>
          <w:lang w:val="zh-CN" w:eastAsia="zh-CN"/>
        </w:rPr>
        <w:t>将作为无效予以拒绝。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）凡没有根据本须知的规定提交</w:t>
      </w:r>
      <w:r>
        <w:rPr>
          <w:rFonts w:hint="eastAsia" w:hAnsi="宋体" w:cs="宋体"/>
          <w:color w:val="auto"/>
          <w:lang w:val="zh-CN" w:eastAsia="zh-CN"/>
        </w:rPr>
        <w:t>响应保证金</w:t>
      </w:r>
      <w:r>
        <w:rPr>
          <w:rFonts w:hint="eastAsia" w:ascii="宋体" w:hAnsi="宋体" w:eastAsia="宋体" w:cs="宋体"/>
          <w:color w:val="auto"/>
          <w:lang w:val="zh-CN" w:eastAsia="zh-CN"/>
        </w:rPr>
        <w:t>的报价，将被视为非响应性报价予以拒绝。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5</w:t>
      </w:r>
      <w:r>
        <w:rPr>
          <w:rFonts w:hint="eastAsia" w:ascii="宋体" w:hAnsi="宋体" w:eastAsia="宋体" w:cs="宋体"/>
          <w:color w:val="auto"/>
          <w:lang w:val="zh-CN" w:eastAsia="zh-CN"/>
        </w:rPr>
        <w:t>）</w:t>
      </w:r>
      <w:r>
        <w:rPr>
          <w:rFonts w:hint="eastAsia" w:hAnsi="宋体" w:cs="宋体"/>
          <w:color w:val="auto"/>
          <w:lang w:val="zh-CN" w:eastAsia="zh-CN"/>
        </w:rPr>
        <w:t>响应保证金</w:t>
      </w:r>
      <w:r>
        <w:rPr>
          <w:rFonts w:hint="eastAsia" w:ascii="宋体" w:hAnsi="宋体" w:eastAsia="宋体" w:cs="宋体"/>
          <w:color w:val="auto"/>
          <w:lang w:val="zh-CN" w:eastAsia="zh-CN"/>
        </w:rPr>
        <w:t>须由</w:t>
      </w:r>
      <w:r>
        <w:rPr>
          <w:rFonts w:hint="eastAsia" w:hAnsi="宋体" w:cs="宋体"/>
          <w:color w:val="auto"/>
          <w:lang w:val="zh-CN" w:eastAsia="zh-CN"/>
        </w:rPr>
        <w:t>响应供应商</w:t>
      </w:r>
      <w:r>
        <w:rPr>
          <w:rFonts w:hint="eastAsia" w:ascii="宋体" w:hAnsi="宋体" w:eastAsia="宋体" w:cs="宋体"/>
          <w:color w:val="auto"/>
          <w:lang w:val="zh-CN" w:eastAsia="zh-CN"/>
        </w:rPr>
        <w:t>基本户递交。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6</w:t>
      </w:r>
      <w:r>
        <w:rPr>
          <w:rFonts w:hint="eastAsia" w:ascii="宋体" w:hAnsi="宋体" w:eastAsia="宋体" w:cs="宋体"/>
          <w:color w:val="auto"/>
          <w:lang w:val="zh-CN" w:eastAsia="zh-CN"/>
        </w:rPr>
        <w:t>）未成交供应商的</w:t>
      </w:r>
      <w:r>
        <w:rPr>
          <w:rFonts w:hint="eastAsia" w:hAnsi="宋体" w:cs="宋体"/>
          <w:color w:val="auto"/>
          <w:lang w:val="zh-CN" w:eastAsia="zh-CN"/>
        </w:rPr>
        <w:t>响应保证金</w:t>
      </w:r>
      <w:r>
        <w:rPr>
          <w:rFonts w:hint="eastAsia" w:ascii="宋体" w:hAnsi="宋体" w:eastAsia="宋体" w:cs="宋体"/>
          <w:color w:val="auto"/>
          <w:lang w:val="zh-CN" w:eastAsia="zh-CN"/>
        </w:rPr>
        <w:t>，将按</w:t>
      </w:r>
      <w:r>
        <w:rPr>
          <w:rFonts w:hint="eastAsia" w:hAnsi="宋体" w:cs="宋体"/>
          <w:color w:val="auto"/>
          <w:lang w:val="zh-CN" w:eastAsia="zh-CN"/>
        </w:rPr>
        <w:t>响应供应商</w:t>
      </w:r>
      <w:r>
        <w:rPr>
          <w:rFonts w:hint="eastAsia" w:ascii="宋体" w:hAnsi="宋体" w:eastAsia="宋体" w:cs="宋体"/>
          <w:color w:val="auto"/>
          <w:lang w:val="zh-CN" w:eastAsia="zh-CN"/>
        </w:rPr>
        <w:t>须知规定的</w:t>
      </w:r>
      <w:r>
        <w:rPr>
          <w:rFonts w:hint="eastAsia" w:hAnsi="宋体" w:cs="宋体"/>
          <w:color w:val="auto"/>
          <w:lang w:val="zh-CN" w:eastAsia="zh-CN"/>
        </w:rPr>
        <w:t>响应有效期</w:t>
      </w:r>
      <w:r>
        <w:rPr>
          <w:rFonts w:hint="eastAsia" w:ascii="宋体" w:hAnsi="宋体" w:eastAsia="宋体" w:cs="宋体"/>
          <w:color w:val="auto"/>
          <w:lang w:val="zh-CN" w:eastAsia="zh-CN"/>
        </w:rPr>
        <w:t>满后三十天内或在发出《成交通知书》之日后五个工作日内原额退还（以先到的时间为准，保证金不计利息）。成交供应商的</w:t>
      </w:r>
      <w:r>
        <w:rPr>
          <w:rFonts w:hint="eastAsia" w:hAnsi="宋体" w:cs="宋体"/>
          <w:color w:val="auto"/>
          <w:lang w:val="zh-CN" w:eastAsia="zh-CN"/>
        </w:rPr>
        <w:t>响应保证金</w:t>
      </w:r>
      <w:r>
        <w:rPr>
          <w:rFonts w:hint="eastAsia" w:ascii="宋体" w:hAnsi="宋体" w:eastAsia="宋体" w:cs="宋体"/>
          <w:color w:val="auto"/>
          <w:lang w:val="zh-CN" w:eastAsia="zh-CN"/>
        </w:rPr>
        <w:t>的退还必须同时满足以下要求，并提供合同及成交服务费支付证明文件到采购代理机构办理退还手续（无息退还），成交供应商逾期办理的，采购代理机构不承担迟延退款责任。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1) 成交供应商按本须知的规定签订了成交合同；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2) 成交供应商按本须知的规定支付了成交服务费。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7</w:t>
      </w:r>
      <w:r>
        <w:rPr>
          <w:rFonts w:hint="eastAsia" w:ascii="宋体" w:hAnsi="宋体" w:eastAsia="宋体" w:cs="宋体"/>
          <w:color w:val="auto"/>
          <w:lang w:val="zh-CN" w:eastAsia="zh-CN"/>
        </w:rPr>
        <w:t>）下列任何一种情况发生时，</w:t>
      </w:r>
      <w:r>
        <w:rPr>
          <w:rFonts w:hint="eastAsia" w:hAnsi="宋体" w:cs="宋体"/>
          <w:color w:val="auto"/>
          <w:lang w:val="zh-CN" w:eastAsia="zh-CN"/>
        </w:rPr>
        <w:t>响应保证金</w:t>
      </w:r>
      <w:r>
        <w:rPr>
          <w:rFonts w:hint="eastAsia" w:ascii="宋体" w:hAnsi="宋体" w:eastAsia="宋体" w:cs="宋体"/>
          <w:color w:val="auto"/>
          <w:lang w:val="zh-CN" w:eastAsia="zh-CN"/>
        </w:rPr>
        <w:t>将被没收，因此而造成采购人的损失须由</w:t>
      </w:r>
      <w:r>
        <w:rPr>
          <w:rFonts w:hint="eastAsia" w:hAnsi="宋体" w:cs="宋体"/>
          <w:color w:val="auto"/>
          <w:lang w:val="zh-CN" w:eastAsia="zh-CN"/>
        </w:rPr>
        <w:t>响应供应商</w:t>
      </w:r>
      <w:r>
        <w:rPr>
          <w:rFonts w:hint="eastAsia" w:ascii="宋体" w:hAnsi="宋体" w:eastAsia="宋体" w:cs="宋体"/>
          <w:color w:val="auto"/>
          <w:lang w:val="zh-CN" w:eastAsia="zh-CN"/>
        </w:rPr>
        <w:t>承担：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1) </w:t>
      </w:r>
      <w:r>
        <w:rPr>
          <w:rFonts w:hint="eastAsia" w:hAnsi="宋体" w:cs="宋体"/>
          <w:color w:val="auto"/>
          <w:lang w:val="zh-CN" w:eastAsia="zh-CN"/>
        </w:rPr>
        <w:t>响应供应商</w:t>
      </w:r>
      <w:r>
        <w:rPr>
          <w:rFonts w:hint="eastAsia" w:ascii="宋体" w:hAnsi="宋体" w:eastAsia="宋体" w:cs="宋体"/>
          <w:color w:val="auto"/>
          <w:lang w:val="zh-CN" w:eastAsia="zh-CN"/>
        </w:rPr>
        <w:t>在谈判文件规定的</w:t>
      </w:r>
      <w:r>
        <w:rPr>
          <w:rFonts w:hint="eastAsia" w:hAnsi="宋体" w:cs="宋体"/>
          <w:color w:val="auto"/>
          <w:lang w:val="zh-CN" w:eastAsia="zh-CN"/>
        </w:rPr>
        <w:t>响应有效期</w:t>
      </w:r>
      <w:r>
        <w:rPr>
          <w:rFonts w:hint="eastAsia" w:ascii="宋体" w:hAnsi="宋体" w:eastAsia="宋体" w:cs="宋体"/>
          <w:color w:val="auto"/>
          <w:lang w:val="zh-CN" w:eastAsia="zh-CN"/>
        </w:rPr>
        <w:t>内撤回其报价；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2) 成交供应商在规定期限内未能根据</w:t>
      </w:r>
      <w:r>
        <w:rPr>
          <w:rFonts w:hint="eastAsia" w:hAnsi="宋体" w:cs="宋体"/>
          <w:color w:val="auto"/>
          <w:lang w:val="zh-CN" w:eastAsia="zh-CN"/>
        </w:rPr>
        <w:t>响应供应商</w:t>
      </w:r>
      <w:r>
        <w:rPr>
          <w:rFonts w:hint="eastAsia" w:ascii="宋体" w:hAnsi="宋体" w:eastAsia="宋体" w:cs="宋体"/>
          <w:color w:val="auto"/>
          <w:lang w:val="zh-CN" w:eastAsia="zh-CN"/>
        </w:rPr>
        <w:t>须知的规定签订合同；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3) 成交后未按谈判文件中的规定缴付成交服务费；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4) 有违反国家有关法律法规的行为。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8.</w:t>
      </w:r>
      <w:r>
        <w:rPr>
          <w:rFonts w:hint="eastAsia" w:hAnsi="宋体" w:cs="宋体"/>
          <w:color w:val="auto"/>
          <w:lang w:val="zh-CN" w:eastAsia="zh-CN"/>
        </w:rPr>
        <w:t>响应有效期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应在《报价须知前附表》规定的时间内保持有效。</w:t>
      </w:r>
      <w:r>
        <w:rPr>
          <w:rFonts w:hint="eastAsia" w:hAnsi="宋体" w:cs="宋体"/>
          <w:color w:val="auto"/>
          <w:lang w:val="zh-CN" w:eastAsia="zh-CN"/>
        </w:rPr>
        <w:t>响应有效期</w:t>
      </w:r>
      <w:r>
        <w:rPr>
          <w:rFonts w:hint="eastAsia" w:ascii="宋体" w:hAnsi="宋体" w:eastAsia="宋体" w:cs="宋体"/>
          <w:color w:val="auto"/>
          <w:lang w:val="zh-CN" w:eastAsia="zh-CN"/>
        </w:rPr>
        <w:t>比规定时间短的将被视为非响应性报价而予以拒绝。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）成交供应商的</w:t>
      </w:r>
      <w:r>
        <w:rPr>
          <w:rFonts w:hint="eastAsia" w:hAnsi="宋体" w:cs="宋体"/>
          <w:color w:val="auto"/>
          <w:lang w:val="zh-CN" w:eastAsia="zh-CN"/>
        </w:rPr>
        <w:t>响应文件</w:t>
      </w:r>
      <w:r>
        <w:rPr>
          <w:rFonts w:hint="eastAsia" w:ascii="宋体" w:hAnsi="宋体" w:eastAsia="宋体" w:cs="宋体"/>
          <w:color w:val="auto"/>
          <w:lang w:val="zh-CN" w:eastAsia="zh-CN"/>
        </w:rPr>
        <w:t>作为合同附件，合同失效时同时失效。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）在特殊情况下，采购代理机构可于</w:t>
      </w:r>
      <w:r>
        <w:rPr>
          <w:rFonts w:hint="eastAsia" w:hAnsi="宋体" w:cs="宋体"/>
          <w:color w:val="auto"/>
          <w:lang w:val="zh-CN" w:eastAsia="zh-CN"/>
        </w:rPr>
        <w:t>响应有效期</w:t>
      </w:r>
      <w:r>
        <w:rPr>
          <w:rFonts w:hint="eastAsia" w:ascii="宋体" w:hAnsi="宋体" w:eastAsia="宋体" w:cs="宋体"/>
          <w:color w:val="auto"/>
          <w:lang w:val="zh-CN" w:eastAsia="zh-CN"/>
        </w:rPr>
        <w:t>满之前要求</w:t>
      </w:r>
      <w:r>
        <w:rPr>
          <w:rFonts w:hint="eastAsia" w:hAnsi="宋体" w:cs="宋体"/>
          <w:color w:val="auto"/>
          <w:lang w:val="zh-CN" w:eastAsia="zh-CN"/>
        </w:rPr>
        <w:t>响应供应商</w:t>
      </w:r>
      <w:r>
        <w:rPr>
          <w:rFonts w:hint="eastAsia" w:ascii="宋体" w:hAnsi="宋体" w:eastAsia="宋体" w:cs="宋体"/>
          <w:color w:val="auto"/>
          <w:lang w:val="zh-CN" w:eastAsia="zh-CN"/>
        </w:rPr>
        <w:t>同意延长有效期。要求与答复均应为书面形式往来。</w:t>
      </w:r>
      <w:r>
        <w:rPr>
          <w:rFonts w:hint="eastAsia" w:hAnsi="宋体" w:cs="宋体"/>
          <w:color w:val="auto"/>
          <w:lang w:val="zh-CN" w:eastAsia="zh-CN"/>
        </w:rPr>
        <w:t>响应供应商</w:t>
      </w:r>
      <w:r>
        <w:rPr>
          <w:rFonts w:hint="eastAsia" w:ascii="宋体" w:hAnsi="宋体" w:eastAsia="宋体" w:cs="宋体"/>
          <w:color w:val="auto"/>
          <w:lang w:val="zh-CN" w:eastAsia="zh-CN"/>
        </w:rPr>
        <w:t>可以拒绝上述要求而其</w:t>
      </w:r>
      <w:r>
        <w:rPr>
          <w:rFonts w:hint="eastAsia" w:hAnsi="宋体" w:cs="宋体"/>
          <w:color w:val="auto"/>
          <w:lang w:val="zh-CN" w:eastAsia="zh-CN"/>
        </w:rPr>
        <w:t>响应保证金</w:t>
      </w:r>
      <w:r>
        <w:rPr>
          <w:rFonts w:hint="eastAsia" w:ascii="宋体" w:hAnsi="宋体" w:eastAsia="宋体" w:cs="宋体"/>
          <w:color w:val="auto"/>
          <w:lang w:val="zh-CN" w:eastAsia="zh-CN"/>
        </w:rPr>
        <w:t>不被没收。对于同意该要求的</w:t>
      </w:r>
      <w:r>
        <w:rPr>
          <w:rFonts w:hint="eastAsia" w:hAnsi="宋体" w:cs="宋体"/>
          <w:color w:val="auto"/>
          <w:lang w:val="zh-CN" w:eastAsia="zh-CN"/>
        </w:rPr>
        <w:t>响应供应商</w:t>
      </w:r>
      <w:r>
        <w:rPr>
          <w:rFonts w:hint="eastAsia" w:ascii="宋体" w:hAnsi="宋体" w:eastAsia="宋体" w:cs="宋体"/>
          <w:color w:val="auto"/>
          <w:lang w:val="zh-CN" w:eastAsia="zh-CN"/>
        </w:rPr>
        <w:t>，既不要求也不允许其修改</w:t>
      </w:r>
      <w:r>
        <w:rPr>
          <w:rFonts w:hint="eastAsia" w:hAnsi="宋体" w:cs="宋体"/>
          <w:color w:val="auto"/>
          <w:lang w:val="zh-CN" w:eastAsia="zh-CN"/>
        </w:rPr>
        <w:t>响应文件</w:t>
      </w:r>
      <w:r>
        <w:rPr>
          <w:rFonts w:hint="eastAsia" w:ascii="宋体" w:hAnsi="宋体" w:eastAsia="宋体" w:cs="宋体"/>
          <w:color w:val="auto"/>
          <w:lang w:val="zh-CN" w:eastAsia="zh-CN"/>
        </w:rPr>
        <w:t>，但将要求其相应延长</w:t>
      </w:r>
      <w:r>
        <w:rPr>
          <w:rFonts w:hint="eastAsia" w:hAnsi="宋体" w:cs="宋体"/>
          <w:color w:val="auto"/>
          <w:lang w:val="zh-CN" w:eastAsia="zh-CN"/>
        </w:rPr>
        <w:t>响应保证金</w:t>
      </w:r>
      <w:r>
        <w:rPr>
          <w:rFonts w:hint="eastAsia" w:ascii="宋体" w:hAnsi="宋体" w:eastAsia="宋体" w:cs="宋体"/>
          <w:color w:val="auto"/>
          <w:lang w:val="zh-CN" w:eastAsia="zh-CN"/>
        </w:rPr>
        <w:t>的有效期。第15款</w:t>
      </w:r>
      <w:r>
        <w:rPr>
          <w:rFonts w:hint="eastAsia" w:hAnsi="宋体" w:cs="宋体"/>
          <w:color w:val="auto"/>
          <w:lang w:val="zh-CN" w:eastAsia="zh-CN"/>
        </w:rPr>
        <w:t>响应保证金</w:t>
      </w:r>
      <w:r>
        <w:rPr>
          <w:rFonts w:hint="eastAsia" w:ascii="宋体" w:hAnsi="宋体" w:eastAsia="宋体" w:cs="宋体"/>
          <w:color w:val="auto"/>
          <w:lang w:val="zh-CN" w:eastAsia="zh-CN"/>
        </w:rPr>
        <w:t>的有关规定在</w:t>
      </w:r>
      <w:r>
        <w:rPr>
          <w:rFonts w:hint="eastAsia" w:hAnsi="宋体" w:cs="宋体"/>
          <w:color w:val="auto"/>
          <w:lang w:val="zh-CN" w:eastAsia="zh-CN"/>
        </w:rPr>
        <w:t>响应保证金</w:t>
      </w:r>
      <w:r>
        <w:rPr>
          <w:rFonts w:hint="eastAsia" w:ascii="宋体" w:hAnsi="宋体" w:eastAsia="宋体" w:cs="宋体"/>
          <w:color w:val="auto"/>
          <w:lang w:val="zh-CN" w:eastAsia="zh-CN"/>
        </w:rPr>
        <w:t>延长期内仍适用。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9.</w:t>
      </w:r>
      <w:r>
        <w:rPr>
          <w:rFonts w:hint="eastAsia" w:hAnsi="宋体" w:cs="宋体"/>
          <w:color w:val="auto"/>
          <w:lang w:val="zh-CN" w:eastAsia="zh-CN"/>
        </w:rPr>
        <w:t>响应文件</w:t>
      </w:r>
      <w:r>
        <w:rPr>
          <w:rFonts w:hint="eastAsia" w:ascii="宋体" w:hAnsi="宋体" w:eastAsia="宋体" w:cs="宋体"/>
          <w:color w:val="auto"/>
          <w:lang w:val="zh-CN" w:eastAsia="zh-CN"/>
        </w:rPr>
        <w:t>的式样和签署</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应准备</w:t>
      </w:r>
      <w:r>
        <w:rPr>
          <w:rFonts w:hint="eastAsia" w:hAnsi="宋体" w:cs="宋体"/>
          <w:color w:val="auto"/>
          <w:lang w:val="zh-CN" w:eastAsia="zh-CN"/>
        </w:rPr>
        <w:t>响应文件</w:t>
      </w:r>
      <w:r>
        <w:rPr>
          <w:rFonts w:hint="eastAsia" w:ascii="宋体" w:hAnsi="宋体" w:eastAsia="宋体" w:cs="宋体"/>
          <w:color w:val="auto"/>
          <w:lang w:val="zh-CN" w:eastAsia="zh-CN"/>
        </w:rPr>
        <w:t>一份正本和《报价须知前附表》规定的副本份数，逐页编码，不得漏页，并装订成册（不允许使用活页夹），并要在右上角明确注明 “正本”或“副本”字样，一旦正本和副本发现差异，以正本为准。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正本和副本须打印或用不褪色墨水书写，由</w:t>
      </w:r>
      <w:r>
        <w:rPr>
          <w:rFonts w:hint="eastAsia" w:hAnsi="宋体" w:cs="宋体"/>
          <w:color w:val="auto"/>
          <w:lang w:val="zh-CN" w:eastAsia="zh-CN"/>
        </w:rPr>
        <w:t>响应供应商</w:t>
      </w:r>
      <w:r>
        <w:rPr>
          <w:rFonts w:hint="eastAsia" w:ascii="宋体" w:hAnsi="宋体" w:eastAsia="宋体" w:cs="宋体"/>
          <w:color w:val="auto"/>
          <w:lang w:val="zh-CN" w:eastAsia="zh-CN"/>
        </w:rPr>
        <w:t>法定代表人或其授权代表签字，后者须将“法定代表人授权委托证明书”以书面形式附在</w:t>
      </w:r>
      <w:r>
        <w:rPr>
          <w:rFonts w:hint="eastAsia" w:hAnsi="宋体" w:cs="宋体"/>
          <w:color w:val="auto"/>
          <w:lang w:val="zh-CN" w:eastAsia="zh-CN"/>
        </w:rPr>
        <w:t>响应文件</w:t>
      </w:r>
      <w:r>
        <w:rPr>
          <w:rFonts w:hint="eastAsia" w:ascii="宋体" w:hAnsi="宋体" w:eastAsia="宋体" w:cs="宋体"/>
          <w:color w:val="auto"/>
          <w:lang w:val="zh-CN" w:eastAsia="zh-CN"/>
        </w:rPr>
        <w:t>中。副本文件可由正本文件复印而成。</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须由</w:t>
      </w:r>
      <w:r>
        <w:rPr>
          <w:rFonts w:hint="eastAsia" w:hAnsi="宋体" w:cs="宋体"/>
          <w:color w:val="auto"/>
          <w:lang w:val="zh-CN" w:eastAsia="zh-CN"/>
        </w:rPr>
        <w:t>响应供应商</w:t>
      </w:r>
      <w:r>
        <w:rPr>
          <w:rFonts w:hint="eastAsia" w:ascii="宋体" w:hAnsi="宋体" w:eastAsia="宋体" w:cs="宋体"/>
          <w:color w:val="auto"/>
          <w:lang w:val="zh-CN" w:eastAsia="zh-CN"/>
        </w:rPr>
        <w:t>的合法授权代表正式签署，</w:t>
      </w:r>
      <w:r>
        <w:rPr>
          <w:rFonts w:hint="eastAsia" w:hAnsi="宋体" w:cs="宋体"/>
          <w:color w:val="auto"/>
          <w:lang w:val="zh-CN" w:eastAsia="zh-CN"/>
        </w:rPr>
        <w:t>响应供应商</w:t>
      </w:r>
      <w:r>
        <w:rPr>
          <w:rFonts w:hint="eastAsia" w:ascii="宋体" w:hAnsi="宋体" w:eastAsia="宋体" w:cs="宋体"/>
          <w:color w:val="auto"/>
          <w:lang w:val="zh-CN" w:eastAsia="zh-CN"/>
        </w:rPr>
        <w:t>除可对</w:t>
      </w:r>
      <w:r>
        <w:rPr>
          <w:rFonts w:hint="eastAsia" w:hAnsi="宋体" w:cs="宋体"/>
          <w:color w:val="auto"/>
          <w:lang w:val="zh-CN" w:eastAsia="zh-CN"/>
        </w:rPr>
        <w:t>响应文件</w:t>
      </w:r>
      <w:r>
        <w:rPr>
          <w:rFonts w:hint="eastAsia" w:ascii="宋体" w:hAnsi="宋体" w:eastAsia="宋体" w:cs="宋体"/>
          <w:color w:val="auto"/>
          <w:lang w:val="zh-CN" w:eastAsia="zh-CN"/>
        </w:rPr>
        <w:t>的错处作必要修改外，</w:t>
      </w:r>
      <w:r>
        <w:rPr>
          <w:rFonts w:hint="eastAsia" w:hAnsi="宋体" w:cs="宋体"/>
          <w:color w:val="auto"/>
          <w:lang w:val="zh-CN" w:eastAsia="zh-CN"/>
        </w:rPr>
        <w:t>响应文件</w:t>
      </w:r>
      <w:r>
        <w:rPr>
          <w:rFonts w:hint="eastAsia" w:ascii="宋体" w:hAnsi="宋体" w:eastAsia="宋体" w:cs="宋体"/>
          <w:color w:val="auto"/>
          <w:lang w:val="zh-CN" w:eastAsia="zh-CN"/>
        </w:rPr>
        <w:t>中不许有加行、涂抹或改写。任何涂改或修正（如有）须由原签署人签字确认，并加盖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的正本每页及所有</w:t>
      </w:r>
      <w:r>
        <w:rPr>
          <w:rFonts w:hint="eastAsia" w:hAnsi="宋体" w:cs="宋体"/>
          <w:color w:val="auto"/>
          <w:lang w:val="zh-CN" w:eastAsia="zh-CN"/>
        </w:rPr>
        <w:t>响应文件</w:t>
      </w:r>
      <w:r>
        <w:rPr>
          <w:rFonts w:hint="eastAsia" w:ascii="宋体" w:hAnsi="宋体" w:eastAsia="宋体" w:cs="宋体"/>
          <w:color w:val="auto"/>
          <w:lang w:val="zh-CN" w:eastAsia="zh-CN"/>
        </w:rPr>
        <w:t>的正本和副本的封面及骑缝均须由</w:t>
      </w:r>
      <w:r>
        <w:rPr>
          <w:rFonts w:hint="eastAsia" w:hAnsi="宋体" w:cs="宋体"/>
          <w:color w:val="auto"/>
          <w:lang w:val="zh-CN" w:eastAsia="zh-CN"/>
        </w:rPr>
        <w:t>响应供应商</w:t>
      </w:r>
      <w:r>
        <w:rPr>
          <w:rFonts w:hint="eastAsia" w:ascii="宋体" w:hAnsi="宋体" w:eastAsia="宋体" w:cs="宋体"/>
          <w:color w:val="auto"/>
          <w:lang w:val="zh-CN" w:eastAsia="zh-CN"/>
        </w:rPr>
        <w:t>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5</w:t>
      </w:r>
      <w:r>
        <w:rPr>
          <w:rFonts w:hint="eastAsia" w:ascii="宋体" w:hAnsi="宋体" w:eastAsia="宋体" w:cs="宋体"/>
          <w:color w:val="auto"/>
          <w:lang w:val="zh-CN" w:eastAsia="zh-CN"/>
        </w:rPr>
        <w:t>）</w:t>
      </w:r>
      <w:r>
        <w:rPr>
          <w:rFonts w:hint="eastAsia" w:hAnsi="宋体" w:cs="宋体"/>
          <w:color w:val="auto"/>
          <w:lang w:val="zh-CN" w:eastAsia="zh-CN"/>
        </w:rPr>
        <w:t>响应文件</w:t>
      </w:r>
      <w:r>
        <w:rPr>
          <w:rFonts w:hint="eastAsia" w:ascii="宋体" w:hAnsi="宋体" w:eastAsia="宋体" w:cs="宋体"/>
          <w:color w:val="auto"/>
          <w:lang w:val="zh-CN" w:eastAsia="zh-CN"/>
        </w:rPr>
        <w:t>的封面应注明“采购项目名称、项目编号、</w:t>
      </w:r>
      <w:r>
        <w:rPr>
          <w:rFonts w:hint="eastAsia" w:hAnsi="宋体" w:cs="宋体"/>
          <w:color w:val="auto"/>
          <w:lang w:val="zh-CN" w:eastAsia="zh-CN"/>
        </w:rPr>
        <w:t>响应供应商</w:t>
      </w:r>
      <w:r>
        <w:rPr>
          <w:rFonts w:hint="eastAsia" w:ascii="宋体" w:hAnsi="宋体" w:eastAsia="宋体" w:cs="宋体"/>
          <w:color w:val="auto"/>
          <w:lang w:val="zh-CN" w:eastAsia="zh-CN"/>
        </w:rPr>
        <w:t>名称、报价日期等”。</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6</w:t>
      </w:r>
      <w:r>
        <w:rPr>
          <w:rFonts w:hint="eastAsia" w:ascii="宋体" w:hAnsi="宋体" w:eastAsia="宋体" w:cs="宋体"/>
          <w:color w:val="auto"/>
          <w:lang w:val="zh-CN" w:eastAsia="zh-CN"/>
        </w:rPr>
        <w:t>）电子文件用U盘或CD-R光盘储存，并密封于“唱标信封”内。</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7</w:t>
      </w:r>
      <w:r>
        <w:rPr>
          <w:rFonts w:hint="eastAsia" w:ascii="宋体" w:hAnsi="宋体" w:eastAsia="宋体" w:cs="宋体"/>
          <w:color w:val="auto"/>
          <w:lang w:val="zh-CN" w:eastAsia="zh-CN"/>
        </w:rPr>
        <w:t>）电报、电传、传真的报价概不接受。</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bookmarkStart w:id="36" w:name="_Toc382926895"/>
      <w:bookmarkStart w:id="37" w:name="_Toc382840844"/>
      <w:r>
        <w:rPr>
          <w:rFonts w:hint="eastAsia" w:ascii="宋体" w:hAnsi="宋体" w:eastAsia="宋体" w:cs="宋体"/>
          <w:b/>
          <w:bCs/>
          <w:color w:val="auto"/>
          <w:lang w:val="en-US" w:eastAsia="zh-CN"/>
        </w:rPr>
        <w:t>五、</w:t>
      </w:r>
      <w:r>
        <w:rPr>
          <w:rFonts w:hint="eastAsia" w:hAnsi="宋体" w:cs="宋体"/>
          <w:b/>
          <w:bCs/>
          <w:color w:val="auto"/>
          <w:lang w:val="zh-CN" w:eastAsia="zh-CN"/>
        </w:rPr>
        <w:t>响应文件</w:t>
      </w:r>
      <w:r>
        <w:rPr>
          <w:rFonts w:hint="eastAsia" w:ascii="宋体" w:hAnsi="宋体" w:eastAsia="宋体" w:cs="宋体"/>
          <w:b/>
          <w:bCs/>
          <w:color w:val="auto"/>
          <w:lang w:val="zh-CN" w:eastAsia="zh-CN"/>
        </w:rPr>
        <w:t>的密封和递交</w:t>
      </w:r>
      <w:bookmarkEnd w:id="36"/>
      <w:bookmarkEnd w:id="37"/>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响应文件</w:t>
      </w:r>
      <w:r>
        <w:rPr>
          <w:rFonts w:hint="eastAsia" w:ascii="宋体" w:hAnsi="宋体" w:eastAsia="宋体" w:cs="宋体"/>
          <w:color w:val="auto"/>
          <w:lang w:val="zh-CN" w:eastAsia="zh-CN"/>
        </w:rPr>
        <w:t>的密封和标记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响应供应商</w:t>
      </w:r>
      <w:r>
        <w:rPr>
          <w:rFonts w:hint="eastAsia" w:ascii="宋体" w:hAnsi="宋体" w:eastAsia="宋体" w:cs="宋体"/>
          <w:color w:val="auto"/>
          <w:lang w:val="zh-CN" w:eastAsia="zh-CN"/>
        </w:rPr>
        <w:t>应将</w:t>
      </w:r>
      <w:r>
        <w:rPr>
          <w:rFonts w:hint="eastAsia" w:hAnsi="宋体" w:cs="宋体"/>
          <w:color w:val="auto"/>
          <w:lang w:val="zh-CN" w:eastAsia="zh-CN"/>
        </w:rPr>
        <w:t>响应文件</w:t>
      </w:r>
      <w:r>
        <w:rPr>
          <w:rFonts w:hint="eastAsia" w:ascii="宋体" w:hAnsi="宋体" w:eastAsia="宋体" w:cs="宋体"/>
          <w:color w:val="auto"/>
          <w:lang w:val="zh-CN" w:eastAsia="zh-CN"/>
        </w:rPr>
        <w:t>（不含唱标信封）一起密封在一个不透明的外层封装中，封口加盖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唱标信封应单独密封并加盖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法人公章，与</w:t>
      </w:r>
      <w:r>
        <w:rPr>
          <w:rFonts w:hint="eastAsia" w:hAnsi="宋体" w:cs="宋体"/>
          <w:color w:val="auto"/>
          <w:lang w:val="zh-CN" w:eastAsia="zh-CN"/>
        </w:rPr>
        <w:t>响应文件</w:t>
      </w:r>
      <w:r>
        <w:rPr>
          <w:rFonts w:hint="eastAsia" w:ascii="宋体" w:hAnsi="宋体" w:eastAsia="宋体" w:cs="宋体"/>
          <w:color w:val="auto"/>
          <w:lang w:val="zh-CN" w:eastAsia="zh-CN"/>
        </w:rPr>
        <w:t>一同提交。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hAnsi="宋体" w:cs="宋体"/>
          <w:color w:val="auto"/>
          <w:lang w:val="zh-CN" w:eastAsia="zh-CN"/>
        </w:rPr>
        <w:t>响应文件</w:t>
      </w:r>
      <w:r>
        <w:rPr>
          <w:rFonts w:hint="eastAsia" w:ascii="宋体" w:hAnsi="宋体" w:eastAsia="宋体" w:cs="宋体"/>
          <w:color w:val="auto"/>
          <w:lang w:val="zh-CN" w:eastAsia="zh-CN"/>
        </w:rPr>
        <w:t>密封封装标记：外层密封封装表面应正确标明</w:t>
      </w:r>
      <w:r>
        <w:rPr>
          <w:rFonts w:hint="eastAsia" w:hAnsi="宋体" w:cs="宋体"/>
          <w:color w:val="auto"/>
          <w:lang w:val="zh-CN" w:eastAsia="zh-CN"/>
        </w:rPr>
        <w:t>响应供应商</w:t>
      </w:r>
      <w:r>
        <w:rPr>
          <w:rFonts w:hint="eastAsia" w:ascii="宋体" w:hAnsi="宋体" w:eastAsia="宋体" w:cs="宋体"/>
          <w:color w:val="auto"/>
          <w:lang w:val="zh-CN" w:eastAsia="zh-CN"/>
        </w:rPr>
        <w:t>名称、地址、项目名称、包号（如有）、</w:t>
      </w:r>
      <w:r>
        <w:rPr>
          <w:rFonts w:hint="eastAsia" w:hAnsi="宋体" w:cs="宋体"/>
          <w:color w:val="auto"/>
          <w:lang w:val="zh-CN" w:eastAsia="zh-CN"/>
        </w:rPr>
        <w:t>响应文件</w:t>
      </w:r>
      <w:r>
        <w:rPr>
          <w:rFonts w:hint="eastAsia" w:ascii="宋体" w:hAnsi="宋体" w:eastAsia="宋体" w:cs="宋体"/>
          <w:color w:val="auto"/>
          <w:lang w:val="zh-CN" w:eastAsia="zh-CN"/>
        </w:rPr>
        <w:t>名称、并注明</w:t>
      </w:r>
      <w:r>
        <w:rPr>
          <w:rFonts w:hint="eastAsia" w:hAnsi="宋体" w:cs="宋体"/>
          <w:color w:val="auto"/>
          <w:lang w:val="zh-CN" w:eastAsia="zh-CN"/>
        </w:rPr>
        <w:t>响应文件</w:t>
      </w:r>
      <w:r>
        <w:rPr>
          <w:rFonts w:hint="eastAsia" w:ascii="宋体" w:hAnsi="宋体" w:eastAsia="宋体" w:cs="宋体"/>
          <w:color w:val="auto"/>
          <w:lang w:val="zh-CN" w:eastAsia="zh-CN"/>
        </w:rPr>
        <w:t>递交截止时间之前不得开封（在封口位置的封条上标注注明），封口位置须加盖</w:t>
      </w:r>
      <w:r>
        <w:rPr>
          <w:rFonts w:hint="eastAsia" w:hAnsi="宋体" w:cs="宋体"/>
          <w:color w:val="auto"/>
          <w:lang w:val="zh-CN" w:eastAsia="zh-CN"/>
        </w:rPr>
        <w:t>响应供应商</w:t>
      </w:r>
      <w:r>
        <w:rPr>
          <w:rFonts w:hint="eastAsia" w:ascii="宋体" w:hAnsi="宋体" w:eastAsia="宋体" w:cs="宋体"/>
          <w:color w:val="auto"/>
          <w:lang w:val="zh-CN" w:eastAsia="zh-CN"/>
        </w:rPr>
        <w:t>法人公章</w:t>
      </w:r>
      <w:r>
        <w:rPr>
          <w:rFonts w:hint="eastAsia" w:hAnsi="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如果因密封封装未按本款规定密封和标记，导致采购代理机构对</w:t>
      </w:r>
      <w:r>
        <w:rPr>
          <w:rFonts w:hint="eastAsia" w:hAnsi="宋体" w:cs="宋体"/>
          <w:color w:val="auto"/>
          <w:lang w:val="zh-CN" w:eastAsia="zh-CN"/>
        </w:rPr>
        <w:t>响应文件</w:t>
      </w:r>
      <w:r>
        <w:rPr>
          <w:rFonts w:hint="eastAsia" w:ascii="宋体" w:hAnsi="宋体" w:eastAsia="宋体" w:cs="宋体"/>
          <w:color w:val="auto"/>
          <w:lang w:val="zh-CN" w:eastAsia="zh-CN"/>
        </w:rPr>
        <w:t>误投、提前拆封或错放的，由</w:t>
      </w:r>
      <w:r>
        <w:rPr>
          <w:rFonts w:hint="eastAsia" w:hAnsi="宋体" w:cs="宋体"/>
          <w:color w:val="auto"/>
          <w:lang w:val="zh-CN" w:eastAsia="zh-CN"/>
        </w:rPr>
        <w:t>响应供应商</w:t>
      </w:r>
      <w:r>
        <w:rPr>
          <w:rFonts w:hint="eastAsia" w:ascii="宋体" w:hAnsi="宋体" w:eastAsia="宋体" w:cs="宋体"/>
          <w:color w:val="auto"/>
          <w:lang w:val="zh-CN" w:eastAsia="zh-CN"/>
        </w:rPr>
        <w:t>承担责任。对由此造成提前开封的</w:t>
      </w:r>
      <w:r>
        <w:rPr>
          <w:rFonts w:hint="eastAsia" w:hAnsi="宋体" w:cs="宋体"/>
          <w:color w:val="auto"/>
          <w:lang w:val="zh-CN" w:eastAsia="zh-CN"/>
        </w:rPr>
        <w:t>响应文件</w:t>
      </w:r>
      <w:r>
        <w:rPr>
          <w:rFonts w:hint="eastAsia" w:ascii="宋体" w:hAnsi="宋体" w:eastAsia="宋体" w:cs="宋体"/>
          <w:color w:val="auto"/>
          <w:lang w:val="zh-CN" w:eastAsia="zh-CN"/>
        </w:rPr>
        <w:t>，采购代理机构予以拒绝，并退回</w:t>
      </w:r>
      <w:r>
        <w:rPr>
          <w:rFonts w:hint="eastAsia" w:hAnsi="宋体" w:cs="宋体"/>
          <w:color w:val="auto"/>
          <w:lang w:val="zh-CN" w:eastAsia="zh-CN"/>
        </w:rPr>
        <w:t>响应供应商</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hAnsi="宋体" w:cs="宋体"/>
          <w:color w:val="auto"/>
          <w:lang w:val="zh-CN" w:eastAsia="zh-CN"/>
        </w:rPr>
        <w:t>响应文件</w:t>
      </w:r>
      <w:r>
        <w:rPr>
          <w:rFonts w:hint="eastAsia" w:ascii="宋体" w:hAnsi="宋体" w:eastAsia="宋体" w:cs="宋体"/>
          <w:color w:val="auto"/>
          <w:lang w:val="zh-CN" w:eastAsia="zh-CN"/>
        </w:rPr>
        <w:t>的递交和接收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响应供应商</w:t>
      </w:r>
      <w:r>
        <w:rPr>
          <w:rFonts w:hint="eastAsia" w:ascii="宋体" w:hAnsi="宋体" w:eastAsia="宋体" w:cs="宋体"/>
          <w:color w:val="auto"/>
          <w:lang w:val="zh-CN" w:eastAsia="zh-CN"/>
        </w:rPr>
        <w:t>代表应按《报价须知前附表》所规定的时间和地点向采购人递交</w:t>
      </w:r>
      <w:r>
        <w:rPr>
          <w:rFonts w:hint="eastAsia" w:hAnsi="宋体" w:cs="宋体"/>
          <w:color w:val="auto"/>
          <w:lang w:val="zh-CN" w:eastAsia="zh-CN"/>
        </w:rPr>
        <w:t>响应文件</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若出现以下情况，采购人将拒绝接收</w:t>
      </w:r>
      <w:r>
        <w:rPr>
          <w:rFonts w:hint="eastAsia" w:hAnsi="宋体" w:cs="宋体"/>
          <w:color w:val="auto"/>
          <w:lang w:val="zh-CN" w:eastAsia="zh-CN"/>
        </w:rPr>
        <w:t>响应文件</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在报价截止时间后逾期或未在指定地点递交</w:t>
      </w:r>
      <w:r>
        <w:rPr>
          <w:rFonts w:hint="eastAsia" w:hAnsi="宋体" w:cs="宋体"/>
          <w:color w:val="auto"/>
          <w:lang w:val="zh-CN" w:eastAsia="zh-CN"/>
        </w:rPr>
        <w:t>响应文件</w:t>
      </w:r>
      <w:r>
        <w:rPr>
          <w:rFonts w:hint="eastAsia" w:ascii="宋体" w:hAnsi="宋体" w:eastAsia="宋体" w:cs="宋体"/>
          <w:color w:val="auto"/>
          <w:lang w:val="zh-CN" w:eastAsia="zh-CN"/>
        </w:rPr>
        <w:t>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hAnsi="宋体" w:cs="宋体"/>
          <w:color w:val="auto"/>
          <w:lang w:val="zh-CN" w:eastAsia="zh-CN"/>
        </w:rPr>
        <w:t>响应文件</w:t>
      </w:r>
      <w:r>
        <w:rPr>
          <w:rFonts w:hint="eastAsia" w:ascii="宋体" w:hAnsi="宋体" w:eastAsia="宋体" w:cs="宋体"/>
          <w:color w:val="auto"/>
          <w:lang w:val="zh-CN" w:eastAsia="zh-CN"/>
        </w:rPr>
        <w:t>未按谈判文件要求密封和标识的；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如</w:t>
      </w:r>
      <w:r>
        <w:rPr>
          <w:rFonts w:hint="eastAsia" w:hAnsi="宋体" w:cs="宋体"/>
          <w:color w:val="auto"/>
          <w:lang w:val="zh-CN" w:eastAsia="zh-CN"/>
        </w:rPr>
        <w:t>响应文件</w:t>
      </w:r>
      <w:r>
        <w:rPr>
          <w:rFonts w:hint="eastAsia" w:ascii="宋体" w:hAnsi="宋体" w:eastAsia="宋体" w:cs="宋体"/>
          <w:color w:val="auto"/>
          <w:lang w:val="zh-CN" w:eastAsia="zh-CN"/>
        </w:rPr>
        <w:t>不能在接收标书当天开启时，须按机密件集中封存在指定的地点，并由</w:t>
      </w:r>
      <w:r>
        <w:rPr>
          <w:rFonts w:hint="eastAsia" w:hAnsi="宋体" w:cs="宋体"/>
          <w:color w:val="auto"/>
          <w:lang w:val="zh-CN" w:eastAsia="zh-CN"/>
        </w:rPr>
        <w:t>响应供应商</w:t>
      </w:r>
      <w:r>
        <w:rPr>
          <w:rFonts w:hint="eastAsia" w:ascii="宋体" w:hAnsi="宋体" w:eastAsia="宋体" w:cs="宋体"/>
          <w:color w:val="auto"/>
          <w:lang w:val="zh-CN" w:eastAsia="zh-CN"/>
        </w:rPr>
        <w:t>全体见证密封，报价前再从封标室解封、取出。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全体</w:t>
      </w:r>
      <w:r>
        <w:rPr>
          <w:rFonts w:hint="eastAsia" w:hAnsi="宋体" w:cs="宋体"/>
          <w:color w:val="auto"/>
          <w:lang w:val="zh-CN" w:eastAsia="zh-CN"/>
        </w:rPr>
        <w:t>响应供应商</w:t>
      </w:r>
      <w:r>
        <w:rPr>
          <w:rFonts w:hint="eastAsia" w:ascii="宋体" w:hAnsi="宋体" w:eastAsia="宋体" w:cs="宋体"/>
          <w:color w:val="auto"/>
          <w:lang w:val="zh-CN" w:eastAsia="zh-CN"/>
        </w:rPr>
        <w:t>应见证封标及标书的解封、取出过程,如</w:t>
      </w:r>
      <w:r>
        <w:rPr>
          <w:rFonts w:hint="eastAsia" w:hAnsi="宋体" w:cs="宋体"/>
          <w:color w:val="auto"/>
          <w:lang w:val="zh-CN" w:eastAsia="zh-CN"/>
        </w:rPr>
        <w:t>响应供应商</w:t>
      </w:r>
      <w:r>
        <w:rPr>
          <w:rFonts w:hint="eastAsia" w:ascii="宋体" w:hAnsi="宋体" w:eastAsia="宋体" w:cs="宋体"/>
          <w:color w:val="auto"/>
          <w:lang w:val="zh-CN" w:eastAsia="zh-CN"/>
        </w:rPr>
        <w:t>不参加见证封标及标书的解封、取出过程，视同认可</w:t>
      </w:r>
      <w:r>
        <w:rPr>
          <w:rFonts w:hint="eastAsia" w:hAnsi="宋体" w:cs="宋体"/>
          <w:color w:val="auto"/>
          <w:lang w:val="zh-CN" w:eastAsia="zh-CN"/>
        </w:rPr>
        <w:t>响应文件</w:t>
      </w:r>
      <w:r>
        <w:rPr>
          <w:rFonts w:hint="eastAsia" w:ascii="宋体" w:hAnsi="宋体" w:eastAsia="宋体" w:cs="宋体"/>
          <w:color w:val="auto"/>
          <w:lang w:val="zh-CN" w:eastAsia="zh-CN"/>
        </w:rPr>
        <w:t>的封存的解封、取出过程与结果。</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5）</w:t>
      </w:r>
      <w:r>
        <w:rPr>
          <w:rFonts w:hint="eastAsia" w:ascii="宋体" w:hAnsi="宋体" w:eastAsia="宋体" w:cs="宋体"/>
          <w:color w:val="auto"/>
          <w:lang w:val="zh-CN" w:eastAsia="zh-CN"/>
        </w:rPr>
        <w:t>采购人可按照第9款的规定修改谈判文件并酌情延长递交</w:t>
      </w:r>
      <w:r>
        <w:rPr>
          <w:rFonts w:hint="eastAsia" w:hAnsi="宋体" w:cs="宋体"/>
          <w:color w:val="auto"/>
          <w:lang w:val="zh-CN" w:eastAsia="zh-CN"/>
        </w:rPr>
        <w:t>响应文件</w:t>
      </w:r>
      <w:r>
        <w:rPr>
          <w:rFonts w:hint="eastAsia" w:ascii="宋体" w:hAnsi="宋体" w:eastAsia="宋体" w:cs="宋体"/>
          <w:color w:val="auto"/>
          <w:lang w:val="zh-CN" w:eastAsia="zh-CN"/>
        </w:rPr>
        <w:t>的截止时间，因此，业已规定的采购代理机构和</w:t>
      </w:r>
      <w:r>
        <w:rPr>
          <w:rFonts w:hint="eastAsia" w:hAnsi="宋体" w:cs="宋体"/>
          <w:color w:val="auto"/>
          <w:lang w:val="zh-CN" w:eastAsia="zh-CN"/>
        </w:rPr>
        <w:t>响应供应商</w:t>
      </w:r>
      <w:r>
        <w:rPr>
          <w:rFonts w:hint="eastAsia" w:ascii="宋体" w:hAnsi="宋体" w:eastAsia="宋体" w:cs="宋体"/>
          <w:color w:val="auto"/>
          <w:lang w:val="zh-CN" w:eastAsia="zh-CN"/>
        </w:rPr>
        <w:t>的一切权利和义务将按延期后的递交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截止时间履行。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迟交的</w:t>
      </w:r>
      <w:r>
        <w:rPr>
          <w:rFonts w:hint="eastAsia" w:hAnsi="宋体" w:cs="宋体"/>
          <w:color w:val="auto"/>
          <w:lang w:val="zh-CN" w:eastAsia="zh-CN"/>
        </w:rPr>
        <w:t>响应文件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采购代理机构将拒绝任何晚于递交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截止时间交到的</w:t>
      </w:r>
      <w:r>
        <w:rPr>
          <w:rFonts w:hint="eastAsia" w:hAnsi="宋体" w:cs="宋体"/>
          <w:color w:val="auto"/>
          <w:lang w:val="zh-CN" w:eastAsia="zh-CN"/>
        </w:rPr>
        <w:t>响应文件</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hAnsi="宋体" w:cs="宋体"/>
          <w:color w:val="auto"/>
          <w:lang w:val="zh-CN" w:eastAsia="zh-CN"/>
        </w:rPr>
        <w:t>响应文件</w:t>
      </w:r>
      <w:r>
        <w:rPr>
          <w:rFonts w:hint="eastAsia" w:ascii="宋体" w:hAnsi="宋体" w:eastAsia="宋体" w:cs="宋体"/>
          <w:color w:val="auto"/>
          <w:lang w:val="zh-CN" w:eastAsia="zh-CN"/>
        </w:rPr>
        <w:t>的修改和撤回</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可在递交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截止时间前对其递交的</w:t>
      </w:r>
      <w:r>
        <w:rPr>
          <w:rFonts w:hint="eastAsia" w:hAnsi="宋体" w:cs="宋体"/>
          <w:color w:val="auto"/>
          <w:lang w:val="zh-CN" w:eastAsia="zh-CN"/>
        </w:rPr>
        <w:t>响应文件</w:t>
      </w:r>
      <w:r>
        <w:rPr>
          <w:rFonts w:hint="eastAsia" w:ascii="宋体" w:hAnsi="宋体" w:eastAsia="宋体" w:cs="宋体"/>
          <w:color w:val="auto"/>
          <w:lang w:val="zh-CN" w:eastAsia="zh-CN"/>
        </w:rPr>
        <w:t>进行修改或撤回，但须在递交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截止时间前向采购代理机构提出修改或撤回的书面通知。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对</w:t>
      </w:r>
      <w:r>
        <w:rPr>
          <w:rFonts w:hint="eastAsia" w:hAnsi="宋体" w:cs="宋体"/>
          <w:color w:val="auto"/>
          <w:lang w:val="zh-CN" w:eastAsia="zh-CN"/>
        </w:rPr>
        <w:t>响应文件</w:t>
      </w:r>
      <w:r>
        <w:rPr>
          <w:rFonts w:hint="eastAsia" w:ascii="宋体" w:hAnsi="宋体" w:eastAsia="宋体" w:cs="宋体"/>
          <w:color w:val="auto"/>
          <w:lang w:val="zh-CN" w:eastAsia="zh-CN"/>
        </w:rPr>
        <w:t>的修改或撤回的通知应按第17款和第18款规定进行准备、密封、标注和递送。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截止时间后，</w:t>
      </w:r>
      <w:r>
        <w:rPr>
          <w:rFonts w:hint="eastAsia" w:hAnsi="宋体" w:cs="宋体"/>
          <w:color w:val="auto"/>
          <w:lang w:val="zh-CN" w:eastAsia="zh-CN"/>
        </w:rPr>
        <w:t>响应供应商</w:t>
      </w:r>
      <w:r>
        <w:rPr>
          <w:rFonts w:hint="eastAsia" w:ascii="宋体" w:hAnsi="宋体" w:eastAsia="宋体" w:cs="宋体"/>
          <w:color w:val="auto"/>
          <w:lang w:val="zh-CN" w:eastAsia="zh-CN"/>
        </w:rPr>
        <w:t>不得修改</w:t>
      </w:r>
      <w:r>
        <w:rPr>
          <w:rFonts w:hint="eastAsia" w:hAnsi="宋体" w:cs="宋体"/>
          <w:color w:val="auto"/>
          <w:lang w:val="zh-CN" w:eastAsia="zh-CN"/>
        </w:rPr>
        <w:t>响应文件</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不得在递交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截止时间起至第16款规定的</w:t>
      </w:r>
      <w:r>
        <w:rPr>
          <w:rFonts w:hint="eastAsia" w:hAnsi="宋体" w:cs="宋体"/>
          <w:color w:val="auto"/>
          <w:lang w:val="zh-CN" w:eastAsia="zh-CN"/>
        </w:rPr>
        <w:t>响应有效期</w:t>
      </w:r>
      <w:r>
        <w:rPr>
          <w:rFonts w:hint="eastAsia" w:ascii="宋体" w:hAnsi="宋体" w:eastAsia="宋体" w:cs="宋体"/>
          <w:color w:val="auto"/>
          <w:lang w:val="zh-CN" w:eastAsia="zh-CN"/>
        </w:rPr>
        <w:t>期满前撤回其</w:t>
      </w:r>
      <w:r>
        <w:rPr>
          <w:rFonts w:hint="eastAsia" w:hAnsi="宋体" w:cs="宋体"/>
          <w:color w:val="auto"/>
          <w:lang w:val="zh-CN" w:eastAsia="zh-CN"/>
        </w:rPr>
        <w:t>响应文件</w:t>
      </w:r>
      <w:r>
        <w:rPr>
          <w:rFonts w:hint="eastAsia" w:ascii="宋体" w:hAnsi="宋体" w:eastAsia="宋体" w:cs="宋体"/>
          <w:color w:val="auto"/>
          <w:lang w:val="zh-CN" w:eastAsia="zh-CN"/>
        </w:rPr>
        <w:t>。否则采购代理机构将按第15.7款规定没收其</w:t>
      </w:r>
      <w:r>
        <w:rPr>
          <w:rFonts w:hint="eastAsia" w:hAnsi="宋体" w:cs="宋体"/>
          <w:color w:val="auto"/>
          <w:lang w:val="zh-CN" w:eastAsia="zh-CN"/>
        </w:rPr>
        <w:t>响应保证金</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r>
        <w:rPr>
          <w:rFonts w:hint="eastAsia" w:ascii="宋体" w:hAnsi="宋体" w:eastAsia="宋体" w:cs="宋体"/>
          <w:b/>
          <w:bCs/>
          <w:color w:val="auto"/>
          <w:lang w:val="zh-CN" w:eastAsia="zh-CN"/>
        </w:rPr>
        <w:t>六、谈判、评审和结果确认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（一）响应</w:t>
      </w:r>
      <w:r>
        <w:rPr>
          <w:rFonts w:hint="eastAsia" w:hAnsi="宋体" w:cs="宋体"/>
          <w:color w:val="auto"/>
          <w:lang w:val="zh-CN" w:eastAsia="zh-CN"/>
        </w:rPr>
        <w:t>响应文件</w:t>
      </w:r>
      <w:r>
        <w:rPr>
          <w:rFonts w:hint="eastAsia" w:ascii="宋体" w:hAnsi="宋体" w:eastAsia="宋体" w:cs="宋体"/>
          <w:color w:val="auto"/>
          <w:lang w:val="zh-CN" w:eastAsia="zh-CN"/>
        </w:rPr>
        <w:t>的开启</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采购代理机构在</w:t>
      </w:r>
      <w:r>
        <w:rPr>
          <w:rFonts w:hint="eastAsia" w:hAnsi="宋体" w:cs="宋体"/>
          <w:color w:val="auto"/>
          <w:lang w:val="zh-CN" w:eastAsia="zh-CN"/>
        </w:rPr>
        <w:t>响应供应商</w:t>
      </w:r>
      <w:r>
        <w:rPr>
          <w:rFonts w:hint="eastAsia" w:ascii="宋体" w:hAnsi="宋体" w:eastAsia="宋体" w:cs="宋体"/>
          <w:color w:val="auto"/>
          <w:lang w:val="zh-CN" w:eastAsia="zh-CN"/>
        </w:rPr>
        <w:t>代表自愿出席的情况下，在《报价须知前附表》规定的地点和时间进行响应文件开启。</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hAnsi="宋体" w:cs="宋体"/>
          <w:color w:val="auto"/>
          <w:lang w:val="zh-CN" w:eastAsia="zh-CN"/>
        </w:rPr>
        <w:t>响应供应商</w:t>
      </w:r>
      <w:r>
        <w:rPr>
          <w:rFonts w:hint="eastAsia" w:ascii="宋体" w:hAnsi="宋体" w:eastAsia="宋体" w:cs="宋体"/>
          <w:color w:val="auto"/>
          <w:lang w:val="zh-CN" w:eastAsia="zh-CN"/>
        </w:rPr>
        <w:t>代表（法定代表人或其授权代表）应出席并进行登记确认，如</w:t>
      </w:r>
      <w:r>
        <w:rPr>
          <w:rFonts w:hint="eastAsia" w:hAnsi="宋体" w:cs="宋体"/>
          <w:color w:val="auto"/>
          <w:lang w:val="zh-CN" w:eastAsia="zh-CN"/>
        </w:rPr>
        <w:t>响应供应商</w:t>
      </w:r>
      <w:r>
        <w:rPr>
          <w:rFonts w:hint="eastAsia" w:ascii="宋体" w:hAnsi="宋体" w:eastAsia="宋体" w:cs="宋体"/>
          <w:color w:val="auto"/>
          <w:lang w:val="zh-CN" w:eastAsia="zh-CN"/>
        </w:rPr>
        <w:t>代表不参与响应文件开启，视为默认开启结果。</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按照有关规定，提交了可接受的“撤回”通知的</w:t>
      </w:r>
      <w:r>
        <w:rPr>
          <w:rFonts w:hint="eastAsia" w:hAnsi="宋体" w:cs="宋体"/>
          <w:color w:val="auto"/>
          <w:lang w:val="zh-CN" w:eastAsia="zh-CN"/>
        </w:rPr>
        <w:t>响应文件</w:t>
      </w:r>
      <w:r>
        <w:rPr>
          <w:rFonts w:hint="eastAsia" w:ascii="宋体" w:hAnsi="宋体" w:eastAsia="宋体" w:cs="宋体"/>
          <w:color w:val="auto"/>
          <w:lang w:val="zh-CN" w:eastAsia="zh-CN"/>
        </w:rPr>
        <w:t>将不予开封。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递交</w:t>
      </w:r>
      <w:r>
        <w:rPr>
          <w:rFonts w:hint="eastAsia" w:hAnsi="宋体" w:cs="宋体"/>
          <w:color w:val="auto"/>
          <w:lang w:val="zh-CN" w:eastAsia="zh-CN"/>
        </w:rPr>
        <w:t>响应文件</w:t>
      </w:r>
      <w:r>
        <w:rPr>
          <w:rFonts w:hint="eastAsia" w:ascii="宋体" w:hAnsi="宋体" w:eastAsia="宋体" w:cs="宋体"/>
          <w:color w:val="auto"/>
          <w:lang w:val="zh-CN" w:eastAsia="zh-CN"/>
        </w:rPr>
        <w:t>截止时间后，监督人员和</w:t>
      </w:r>
      <w:r>
        <w:rPr>
          <w:rFonts w:hint="eastAsia" w:hAnsi="宋体" w:cs="宋体"/>
          <w:color w:val="auto"/>
          <w:lang w:val="zh-CN" w:eastAsia="zh-CN"/>
        </w:rPr>
        <w:t>响应供应商</w:t>
      </w:r>
      <w:r>
        <w:rPr>
          <w:rFonts w:hint="eastAsia" w:ascii="宋体" w:hAnsi="宋体" w:eastAsia="宋体" w:cs="宋体"/>
          <w:color w:val="auto"/>
          <w:lang w:val="zh-CN" w:eastAsia="zh-CN"/>
        </w:rPr>
        <w:t>代表将对所有的</w:t>
      </w:r>
      <w:r>
        <w:rPr>
          <w:rFonts w:hint="eastAsia" w:hAnsi="宋体" w:cs="宋体"/>
          <w:color w:val="auto"/>
          <w:lang w:val="zh-CN" w:eastAsia="zh-CN"/>
        </w:rPr>
        <w:t>响应文件</w:t>
      </w:r>
      <w:r>
        <w:rPr>
          <w:rFonts w:hint="eastAsia" w:ascii="宋体" w:hAnsi="宋体" w:eastAsia="宋体" w:cs="宋体"/>
          <w:color w:val="auto"/>
          <w:lang w:val="zh-CN" w:eastAsia="zh-CN"/>
        </w:rPr>
        <w:t>的密封性进行检查。采购代理机构将当众宣读</w:t>
      </w:r>
      <w:r>
        <w:rPr>
          <w:rFonts w:hint="eastAsia" w:hAnsi="宋体" w:cs="宋体"/>
          <w:color w:val="auto"/>
          <w:lang w:val="zh-CN" w:eastAsia="zh-CN"/>
        </w:rPr>
        <w:t>响应供应商</w:t>
      </w:r>
      <w:r>
        <w:rPr>
          <w:rFonts w:hint="eastAsia" w:ascii="宋体" w:hAnsi="宋体" w:eastAsia="宋体" w:cs="宋体"/>
          <w:color w:val="auto"/>
          <w:lang w:val="zh-CN" w:eastAsia="zh-CN"/>
        </w:rPr>
        <w:t>名称、报价、折扣声明，以及采购代理机构认为合适的其他内容。若采购代理机构宣读的结果与</w:t>
      </w:r>
      <w:r>
        <w:rPr>
          <w:rFonts w:hint="eastAsia" w:hAnsi="宋体" w:cs="宋体"/>
          <w:color w:val="auto"/>
          <w:lang w:val="zh-CN" w:eastAsia="zh-CN"/>
        </w:rPr>
        <w:t>响应文件</w:t>
      </w:r>
      <w:r>
        <w:rPr>
          <w:rFonts w:hint="eastAsia" w:ascii="宋体" w:hAnsi="宋体" w:eastAsia="宋体" w:cs="宋体"/>
          <w:color w:val="auto"/>
          <w:lang w:val="zh-CN" w:eastAsia="zh-CN"/>
        </w:rPr>
        <w:t>不符时，</w:t>
      </w:r>
      <w:r>
        <w:rPr>
          <w:rFonts w:hint="eastAsia" w:hAnsi="宋体" w:cs="宋体"/>
          <w:color w:val="auto"/>
          <w:lang w:val="zh-CN" w:eastAsia="zh-CN"/>
        </w:rPr>
        <w:t>响应供应商</w:t>
      </w:r>
      <w:r>
        <w:rPr>
          <w:rFonts w:hint="eastAsia" w:ascii="宋体" w:hAnsi="宋体" w:eastAsia="宋体" w:cs="宋体"/>
          <w:color w:val="auto"/>
          <w:lang w:val="zh-CN" w:eastAsia="zh-CN"/>
        </w:rPr>
        <w:t>有权在报价现场提出异议，经有关监督人员或公证人员当场核查确认之后，可重新宣读其</w:t>
      </w:r>
      <w:r>
        <w:rPr>
          <w:rFonts w:hint="eastAsia" w:hAnsi="宋体" w:cs="宋体"/>
          <w:color w:val="auto"/>
          <w:lang w:val="zh-CN" w:eastAsia="zh-CN"/>
        </w:rPr>
        <w:t>响应文件</w:t>
      </w:r>
      <w:r>
        <w:rPr>
          <w:rFonts w:hint="eastAsia" w:ascii="宋体" w:hAnsi="宋体" w:eastAsia="宋体" w:cs="宋体"/>
          <w:color w:val="auto"/>
          <w:lang w:val="zh-CN" w:eastAsia="zh-CN"/>
        </w:rPr>
        <w:t>。若</w:t>
      </w:r>
      <w:r>
        <w:rPr>
          <w:rFonts w:hint="eastAsia" w:hAnsi="宋体" w:cs="宋体"/>
          <w:color w:val="auto"/>
          <w:lang w:val="zh-CN" w:eastAsia="zh-CN"/>
        </w:rPr>
        <w:t>响应供应商</w:t>
      </w:r>
      <w:r>
        <w:rPr>
          <w:rFonts w:hint="eastAsia" w:ascii="宋体" w:hAnsi="宋体" w:eastAsia="宋体" w:cs="宋体"/>
          <w:color w:val="auto"/>
          <w:lang w:val="zh-CN" w:eastAsia="zh-CN"/>
        </w:rPr>
        <w:t>现场未提出异议，则视为</w:t>
      </w:r>
      <w:r>
        <w:rPr>
          <w:rFonts w:hint="eastAsia" w:hAnsi="宋体" w:cs="宋体"/>
          <w:color w:val="auto"/>
          <w:lang w:val="zh-CN" w:eastAsia="zh-CN"/>
        </w:rPr>
        <w:t>响应供应商</w:t>
      </w:r>
      <w:r>
        <w:rPr>
          <w:rFonts w:hint="eastAsia" w:ascii="宋体" w:hAnsi="宋体" w:eastAsia="宋体" w:cs="宋体"/>
          <w:color w:val="auto"/>
          <w:lang w:val="zh-CN" w:eastAsia="zh-CN"/>
        </w:rPr>
        <w:t>确认宣读的结果。</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5.</w:t>
      </w:r>
      <w:r>
        <w:rPr>
          <w:rFonts w:hint="eastAsia" w:hAnsi="宋体" w:cs="宋体"/>
          <w:color w:val="auto"/>
          <w:lang w:val="zh-CN" w:eastAsia="zh-CN"/>
        </w:rPr>
        <w:t>响应供应商</w:t>
      </w:r>
      <w:r>
        <w:rPr>
          <w:rFonts w:hint="eastAsia" w:ascii="宋体" w:hAnsi="宋体" w:eastAsia="宋体" w:cs="宋体"/>
          <w:color w:val="auto"/>
          <w:lang w:val="zh-CN" w:eastAsia="zh-CN"/>
        </w:rPr>
        <w:t>必须以人民币报价，以其它货币标价的报价将予以拒绝。</w:t>
      </w:r>
      <w:r>
        <w:rPr>
          <w:rFonts w:hint="eastAsia" w:hAnsi="宋体" w:cs="宋体"/>
          <w:color w:val="auto"/>
          <w:lang w:val="zh-CN" w:eastAsia="zh-CN"/>
        </w:rPr>
        <w:t>响应文件</w:t>
      </w:r>
      <w:r>
        <w:rPr>
          <w:rFonts w:hint="eastAsia" w:ascii="宋体" w:hAnsi="宋体" w:eastAsia="宋体" w:cs="宋体"/>
          <w:color w:val="auto"/>
          <w:lang w:val="zh-CN" w:eastAsia="zh-CN"/>
        </w:rPr>
        <w:t>中开标一览表（报价表）内容与</w:t>
      </w:r>
      <w:r>
        <w:rPr>
          <w:rFonts w:hint="eastAsia" w:hAnsi="宋体" w:cs="宋体"/>
          <w:color w:val="auto"/>
          <w:lang w:val="zh-CN" w:eastAsia="zh-CN"/>
        </w:rPr>
        <w:t>响应文件</w:t>
      </w:r>
      <w:r>
        <w:rPr>
          <w:rFonts w:hint="eastAsia" w:ascii="宋体" w:hAnsi="宋体" w:eastAsia="宋体" w:cs="宋体"/>
          <w:color w:val="auto"/>
          <w:lang w:val="zh-CN" w:eastAsia="zh-CN"/>
        </w:rPr>
        <w:t>中相应内容不一致的，以开标一览表（报价表）为准；</w:t>
      </w:r>
      <w:r>
        <w:rPr>
          <w:rFonts w:hint="eastAsia" w:hAnsi="宋体" w:cs="宋体"/>
          <w:color w:val="auto"/>
          <w:lang w:val="zh-CN" w:eastAsia="zh-CN"/>
        </w:rPr>
        <w:t>响应文件</w:t>
      </w:r>
      <w:r>
        <w:rPr>
          <w:rFonts w:hint="eastAsia" w:ascii="宋体" w:hAnsi="宋体" w:eastAsia="宋体" w:cs="宋体"/>
          <w:color w:val="auto"/>
          <w:lang w:val="zh-CN" w:eastAsia="zh-CN"/>
        </w:rPr>
        <w:t>的大写金额和小写金额不一致的，以大写金额为准；总价金额与按单价汇总金额不一致的，以单价金额计算结果为准；单价金额小数点或者百分比有明显错位的，以开标一览表的总价为准，并修改单价；对不同文字文本投标文件的解释发生异议的，以中文文本为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6.</w:t>
      </w:r>
      <w:r>
        <w:rPr>
          <w:rFonts w:hint="eastAsia" w:ascii="宋体" w:hAnsi="宋体" w:eastAsia="宋体" w:cs="宋体"/>
          <w:color w:val="auto"/>
          <w:lang w:val="zh-CN" w:eastAsia="zh-CN"/>
        </w:rPr>
        <w:t>采购代理机构将做报价记录。</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（二）谈判小组</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本次谈判须组建谈判小组，谈判小组的人数和产生详见《</w:t>
      </w:r>
      <w:r>
        <w:rPr>
          <w:rFonts w:hint="eastAsia" w:hAnsi="宋体" w:cs="宋体"/>
          <w:color w:val="auto"/>
          <w:lang w:val="zh-CN" w:eastAsia="zh-CN"/>
        </w:rPr>
        <w:t>响应供应商</w:t>
      </w:r>
      <w:r>
        <w:rPr>
          <w:rFonts w:hint="eastAsia" w:ascii="宋体" w:hAnsi="宋体" w:eastAsia="宋体" w:cs="宋体"/>
          <w:color w:val="auto"/>
          <w:lang w:val="zh-CN" w:eastAsia="zh-CN"/>
        </w:rPr>
        <w:t>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谈判小组将只对确定为实质上响应谈判文件要求的报价，即通过初审的报价进行评价和比较，响应的依据是谈判文件本身的内容，而不寻求其它证据。实质上响应的报价应该是与谈判文件要求的全部主要条款、条件和规格相符，没有重大偏离的报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谈判小组依法根据谈判文件的规定，进行</w:t>
      </w:r>
      <w:r>
        <w:rPr>
          <w:rFonts w:hint="eastAsia" w:hAnsi="宋体" w:cs="宋体"/>
          <w:color w:val="auto"/>
          <w:lang w:val="zh-CN" w:eastAsia="zh-CN"/>
        </w:rPr>
        <w:t>响应文件</w:t>
      </w:r>
      <w:r>
        <w:rPr>
          <w:rFonts w:hint="eastAsia" w:ascii="宋体" w:hAnsi="宋体" w:eastAsia="宋体" w:cs="宋体"/>
          <w:color w:val="auto"/>
          <w:lang w:val="zh-CN" w:eastAsia="zh-CN"/>
        </w:rPr>
        <w:t>的评审，得出评审结果，谈判小组递交评审报告并确定成交供应商。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所有参加评审人员必须遵守国家、地方政府制定的有关招标投标的法则、规定，遵守有关招标投标的保密制度；如有违反者，给予行政处分；情节严重，构成犯罪的，由司法机关依法追究其刑事责任。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5.</w:t>
      </w:r>
      <w:r>
        <w:rPr>
          <w:rFonts w:hint="eastAsia" w:ascii="宋体" w:hAnsi="宋体" w:eastAsia="宋体" w:cs="宋体"/>
          <w:color w:val="auto"/>
          <w:lang w:val="zh-CN" w:eastAsia="zh-CN"/>
        </w:rPr>
        <w:t>全体参与评审人员</w:t>
      </w:r>
      <w:r>
        <w:rPr>
          <w:rFonts w:hint="eastAsia" w:hAnsi="宋体" w:cs="宋体"/>
          <w:color w:val="auto"/>
          <w:lang w:val="zh-CN" w:eastAsia="zh-CN"/>
        </w:rPr>
        <w:t>应当做到</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）必须遵守评审纪律、不得泄密；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）必须公正、不得徇私；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）必须科学、不得草率；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4</w:t>
      </w:r>
      <w:r>
        <w:rPr>
          <w:rFonts w:hint="eastAsia" w:ascii="宋体" w:hAnsi="宋体" w:eastAsia="宋体" w:cs="宋体"/>
          <w:color w:val="auto"/>
          <w:lang w:val="zh-CN" w:eastAsia="zh-CN"/>
        </w:rPr>
        <w:t>）必须客观、不得带有成见；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5</w:t>
      </w:r>
      <w:r>
        <w:rPr>
          <w:rFonts w:hint="eastAsia" w:ascii="宋体" w:hAnsi="宋体" w:eastAsia="宋体" w:cs="宋体"/>
          <w:color w:val="auto"/>
          <w:lang w:val="zh-CN" w:eastAsia="zh-CN"/>
        </w:rPr>
        <w:t>）必须平等、不得强加于人；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6</w:t>
      </w:r>
      <w:r>
        <w:rPr>
          <w:rFonts w:hint="eastAsia" w:ascii="宋体" w:hAnsi="宋体" w:eastAsia="宋体" w:cs="宋体"/>
          <w:color w:val="auto"/>
          <w:lang w:val="zh-CN" w:eastAsia="zh-CN"/>
        </w:rPr>
        <w:t>）必须严谨、不得随意马虎。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（三）评审过程的保密性</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递交</w:t>
      </w:r>
      <w:r>
        <w:rPr>
          <w:rFonts w:hint="eastAsia" w:hAnsi="宋体" w:cs="宋体"/>
          <w:color w:val="auto"/>
          <w:lang w:val="zh-CN" w:eastAsia="zh-CN"/>
        </w:rPr>
        <w:t>响应文件</w:t>
      </w:r>
      <w:r>
        <w:rPr>
          <w:rFonts w:hint="eastAsia" w:ascii="宋体" w:hAnsi="宋体" w:eastAsia="宋体" w:cs="宋体"/>
          <w:color w:val="auto"/>
          <w:lang w:val="zh-CN" w:eastAsia="zh-CN"/>
        </w:rPr>
        <w:t>后，直至向成交供应商授予合同时止，凡与审查、澄清、评估和比较报价的有关资料以及授标意见等，参与评审工作的有关人员均不得向</w:t>
      </w:r>
      <w:r>
        <w:rPr>
          <w:rFonts w:hint="eastAsia" w:hAnsi="宋体" w:cs="宋体"/>
          <w:color w:val="auto"/>
          <w:lang w:val="zh-CN" w:eastAsia="zh-CN"/>
        </w:rPr>
        <w:t>响应供应商</w:t>
      </w:r>
      <w:r>
        <w:rPr>
          <w:rFonts w:hint="eastAsia" w:ascii="宋体" w:hAnsi="宋体" w:eastAsia="宋体" w:cs="宋体"/>
          <w:color w:val="auto"/>
          <w:lang w:val="zh-CN" w:eastAsia="zh-CN"/>
        </w:rPr>
        <w:t>及与评审无关的其他人透露，否则追究有关当事人的法律责任。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2</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在评审过程中，如果</w:t>
      </w:r>
      <w:r>
        <w:rPr>
          <w:rFonts w:hint="eastAsia" w:hAnsi="宋体" w:cs="宋体"/>
          <w:color w:val="auto"/>
          <w:lang w:val="zh-CN" w:eastAsia="zh-CN"/>
        </w:rPr>
        <w:t>响应供应商</w:t>
      </w:r>
      <w:r>
        <w:rPr>
          <w:rFonts w:hint="eastAsia" w:ascii="宋体" w:hAnsi="宋体" w:eastAsia="宋体" w:cs="宋体"/>
          <w:color w:val="auto"/>
          <w:lang w:val="zh-CN" w:eastAsia="zh-CN"/>
        </w:rPr>
        <w:t>试图在</w:t>
      </w:r>
      <w:r>
        <w:rPr>
          <w:rFonts w:hint="eastAsia" w:hAnsi="宋体" w:cs="宋体"/>
          <w:color w:val="auto"/>
          <w:lang w:val="zh-CN" w:eastAsia="zh-CN"/>
        </w:rPr>
        <w:t>响应文件</w:t>
      </w:r>
      <w:r>
        <w:rPr>
          <w:rFonts w:hint="eastAsia" w:ascii="宋体" w:hAnsi="宋体" w:eastAsia="宋体" w:cs="宋体"/>
          <w:color w:val="auto"/>
          <w:lang w:val="zh-CN" w:eastAsia="zh-CN"/>
        </w:rPr>
        <w:t>审查、澄清、比较及授予合同方面向采购代理机构和采购人施加任何影响，其</w:t>
      </w:r>
      <w:r>
        <w:rPr>
          <w:rFonts w:hint="eastAsia" w:hAnsi="宋体" w:cs="宋体"/>
          <w:color w:val="auto"/>
          <w:lang w:val="zh-CN" w:eastAsia="zh-CN"/>
        </w:rPr>
        <w:t>响应文件</w:t>
      </w:r>
      <w:r>
        <w:rPr>
          <w:rFonts w:hint="eastAsia" w:ascii="宋体" w:hAnsi="宋体" w:eastAsia="宋体" w:cs="宋体"/>
          <w:color w:val="auto"/>
          <w:lang w:val="zh-CN" w:eastAsia="zh-CN"/>
        </w:rPr>
        <w:t>将被拒绝。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凡参与评审工作的有关人员均应自觉接受相关政府采购主管部门的监督，不得向他人透露已获得谈判文件的潜在</w:t>
      </w:r>
      <w:r>
        <w:rPr>
          <w:rFonts w:hint="eastAsia" w:hAnsi="宋体" w:cs="宋体"/>
          <w:color w:val="auto"/>
          <w:lang w:val="zh-CN" w:eastAsia="zh-CN"/>
        </w:rPr>
        <w:t>响应供应商</w:t>
      </w:r>
      <w:r>
        <w:rPr>
          <w:rFonts w:hint="eastAsia" w:ascii="宋体" w:hAnsi="宋体" w:eastAsia="宋体" w:cs="宋体"/>
          <w:color w:val="auto"/>
          <w:lang w:val="zh-CN" w:eastAsia="zh-CN"/>
        </w:rPr>
        <w:t>的名称、数量以及可能影响公平竞争的有关报价的其他情况。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zh-CN" w:eastAsia="zh-CN"/>
        </w:rPr>
        <w:t>（四）评审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hAnsi="宋体" w:cs="宋体"/>
          <w:color w:val="auto"/>
          <w:lang w:val="zh-CN" w:eastAsia="zh-CN"/>
        </w:rPr>
        <w:t>详见评审工作大纲。</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bookmarkStart w:id="38" w:name="_Toc382840846"/>
      <w:bookmarkStart w:id="39" w:name="_Toc382926897"/>
      <w:r>
        <w:rPr>
          <w:rFonts w:hint="eastAsia" w:ascii="宋体" w:hAnsi="宋体" w:eastAsia="宋体" w:cs="宋体"/>
          <w:b/>
          <w:bCs/>
          <w:color w:val="auto"/>
          <w:lang w:val="zh-CN" w:eastAsia="zh-CN"/>
        </w:rPr>
        <w:t>七、成交与合同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（一）成交通知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hAnsi="宋体" w:cs="宋体"/>
          <w:color w:val="auto"/>
          <w:lang w:val="zh-CN" w:eastAsia="zh-CN"/>
        </w:rPr>
        <w:t>响应文件</w:t>
      </w:r>
      <w:r>
        <w:rPr>
          <w:rFonts w:hint="eastAsia" w:ascii="宋体" w:hAnsi="宋体" w:eastAsia="宋体" w:cs="宋体"/>
          <w:color w:val="auto"/>
          <w:lang w:val="zh-CN" w:eastAsia="zh-CN"/>
        </w:rPr>
        <w:t>有效期期满前，采购代理机构将以书面形式通知成交供应商其</w:t>
      </w:r>
      <w:r>
        <w:rPr>
          <w:rFonts w:hint="eastAsia" w:hAnsi="宋体" w:cs="宋体"/>
          <w:color w:val="auto"/>
          <w:lang w:val="zh-CN" w:eastAsia="zh-CN"/>
        </w:rPr>
        <w:t>响应文件</w:t>
      </w:r>
      <w:r>
        <w:rPr>
          <w:rFonts w:hint="eastAsia" w:ascii="宋体" w:hAnsi="宋体" w:eastAsia="宋体" w:cs="宋体"/>
          <w:color w:val="auto"/>
          <w:lang w:val="zh-CN" w:eastAsia="zh-CN"/>
        </w:rPr>
        <w:t>被接受。</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采购代理机构向成交供应商发出书面通知的同时，采购代理机构通知落选的</w:t>
      </w:r>
      <w:r>
        <w:rPr>
          <w:rFonts w:hint="eastAsia" w:hAnsi="宋体" w:cs="宋体"/>
          <w:color w:val="auto"/>
          <w:lang w:val="zh-CN" w:eastAsia="zh-CN"/>
        </w:rPr>
        <w:t>响应供应商</w:t>
      </w:r>
      <w:r>
        <w:rPr>
          <w:rFonts w:hint="eastAsia" w:ascii="宋体" w:hAnsi="宋体" w:eastAsia="宋体" w:cs="宋体"/>
          <w:color w:val="auto"/>
          <w:lang w:val="zh-CN" w:eastAsia="zh-CN"/>
        </w:rPr>
        <w:t>其</w:t>
      </w:r>
      <w:r>
        <w:rPr>
          <w:rFonts w:hint="eastAsia" w:hAnsi="宋体" w:cs="宋体"/>
          <w:color w:val="auto"/>
          <w:lang w:val="zh-CN" w:eastAsia="zh-CN"/>
        </w:rPr>
        <w:t>响应文件</w:t>
      </w:r>
      <w:r>
        <w:rPr>
          <w:rFonts w:hint="eastAsia" w:ascii="宋体" w:hAnsi="宋体" w:eastAsia="宋体" w:cs="宋体"/>
          <w:color w:val="auto"/>
          <w:lang w:val="zh-CN" w:eastAsia="zh-CN"/>
        </w:rPr>
        <w:t>未被接受而不提原因。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成交通知书是合同的一个组成部分。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成交供应商如在收到采购结果通知后15日内不按规定领取成交通知书，则视为自动放弃成交资格，并按政府采购相关法律法规追究其相关责任。</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（二）授予合同</w:t>
      </w:r>
      <w:bookmarkEnd w:id="38"/>
      <w:bookmarkEnd w:id="39"/>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授予合同的准则</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采购人将合同授予其</w:t>
      </w:r>
      <w:r>
        <w:rPr>
          <w:rFonts w:hint="eastAsia" w:hAnsi="宋体" w:cs="宋体"/>
          <w:color w:val="auto"/>
          <w:lang w:val="zh-CN" w:eastAsia="zh-CN"/>
        </w:rPr>
        <w:t>响应文件</w:t>
      </w:r>
      <w:r>
        <w:rPr>
          <w:rFonts w:hint="eastAsia" w:ascii="宋体" w:hAnsi="宋体" w:eastAsia="宋体" w:cs="宋体"/>
          <w:color w:val="auto"/>
          <w:lang w:val="zh-CN" w:eastAsia="zh-CN"/>
        </w:rPr>
        <w:t>符合谈判文件要求，并且能承诺履行合同，对采购人最为有利的</w:t>
      </w:r>
      <w:r>
        <w:rPr>
          <w:rFonts w:hint="eastAsia" w:hAnsi="宋体" w:cs="宋体"/>
          <w:color w:val="auto"/>
          <w:lang w:val="zh-CN" w:eastAsia="zh-CN"/>
        </w:rPr>
        <w:t>响应供应商</w:t>
      </w:r>
      <w:r>
        <w:rPr>
          <w:rFonts w:hint="eastAsia" w:ascii="宋体" w:hAnsi="宋体" w:eastAsia="宋体" w:cs="宋体"/>
          <w:color w:val="auto"/>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（三）合同的订立和履行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采购代理机构通知成交供应商成交时，将提供谈判文件中的合同格式（包括双方之间的有关协议）给成交供应商。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成交供应商在自《成交通知书》发出之日起 30日内，应派授权代表前往《报价须知前附表》注明的地点与采购人按谈判文件要求和成交供应商</w:t>
      </w:r>
      <w:r>
        <w:rPr>
          <w:rFonts w:hint="eastAsia" w:hAnsi="宋体" w:cs="宋体"/>
          <w:color w:val="auto"/>
          <w:lang w:val="zh-CN" w:eastAsia="zh-CN"/>
        </w:rPr>
        <w:t>响应文件</w:t>
      </w:r>
      <w:r>
        <w:rPr>
          <w:rFonts w:hint="eastAsia" w:ascii="宋体" w:hAnsi="宋体" w:eastAsia="宋体" w:cs="宋体"/>
          <w:color w:val="auto"/>
          <w:lang w:val="zh-CN" w:eastAsia="zh-CN"/>
        </w:rPr>
        <w:t>承诺签定政府采购合同，合同签订内容不得超出谈判文件和成交供应商</w:t>
      </w:r>
      <w:r>
        <w:rPr>
          <w:rFonts w:hint="eastAsia" w:hAnsi="宋体" w:cs="宋体"/>
          <w:color w:val="auto"/>
          <w:lang w:val="zh-CN" w:eastAsia="zh-CN"/>
        </w:rPr>
        <w:t>响应文件</w:t>
      </w:r>
      <w:r>
        <w:rPr>
          <w:rFonts w:hint="eastAsia" w:ascii="宋体" w:hAnsi="宋体" w:eastAsia="宋体" w:cs="宋体"/>
          <w:color w:val="auto"/>
          <w:lang w:val="zh-CN" w:eastAsia="zh-CN"/>
        </w:rPr>
        <w:t>的范围、也不得再行订立背离合同实质性内容的其他协议。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采购合同订立后，合同各方不得擅自变更、中止或者终止合同。合同需要变更的，采购人应将有关合同变更内容，以书面形式报监督管理机关备案；因特殊情况需要中止或终止合同的，采购人应将中止或终止合同的理由以及相应措施，以书面形式报监督管理机关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采购合同履行中，采购人需追加与合同标的相同的货物（或服务），在不改变合同其他条款的前提下，可以与供应商签订补充合同，但所补充合同的采购金额不得超过原采购金额的百分之十。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（四）采购人在授予合同时变更采购货物（或服务）数量的权利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采购合同履行中，采购人需追加与合同标的相同的货物、工程或者服务的，在不改变合同其他条款的前提下，可以与供应商签订补充合同，但所补充合同的采购金额不得超过《报价资料表》规定的幅度，以成交供应商报价的单价进行计算。</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（五）发票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获得成交的成交供应商在执行合同过程中，向采购人出具的发票必须是由成交供应商开具，不得以其他单位或个人名义出具。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r>
        <w:rPr>
          <w:rFonts w:hint="eastAsia" w:ascii="宋体" w:hAnsi="宋体" w:eastAsia="宋体" w:cs="宋体"/>
          <w:b/>
          <w:bCs/>
          <w:color w:val="auto"/>
          <w:lang w:val="zh-CN" w:eastAsia="zh-CN"/>
        </w:rPr>
        <w:t>八、履约保证金（本项目不适用）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成交供应商应在签署合同后10天内提交履约保证金，履约保证金金额应按《投标须知前附表》中规定的金额。提交方式可按照下述方式提交：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1）履约保证金采用电汇、转帐方式提交( 注明成交通知书编号)。成交供应商必须保证资金在签订合同后的十个日历日内到账,以银行收到为准）。保证金汇入采购人指定的履约保证金专用账户，待项目验收合格及结算完毕后，采购人将把履约保证金无息退还成交供应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2）采用履约保函方式：应按照合同条款的规定，向采购人提交由银行支行及以上机构出具的履约保函。保函格式如与招标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招标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3）采购人认可的其它方式。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如果成交供应商没有按照上述规定执行，采购人和采购代理机构将有充分理由取消该成交决定，并没收其</w:t>
      </w:r>
      <w:r>
        <w:rPr>
          <w:rFonts w:hint="eastAsia" w:hAnsi="宋体" w:cs="宋体"/>
          <w:color w:val="auto"/>
          <w:lang w:val="zh-CN" w:eastAsia="zh-CN"/>
        </w:rPr>
        <w:t>响应保证金</w:t>
      </w:r>
      <w:r>
        <w:rPr>
          <w:rFonts w:hint="eastAsia" w:ascii="宋体" w:hAnsi="宋体" w:eastAsia="宋体" w:cs="宋体"/>
          <w:color w:val="auto"/>
          <w:lang w:val="zh-CN" w:eastAsia="zh-CN"/>
        </w:rPr>
        <w:t>。在此情况下采购人可将成交资格授予下一个成交供应商或重新采购。</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r>
        <w:rPr>
          <w:rFonts w:hint="eastAsia" w:ascii="宋体" w:hAnsi="宋体" w:eastAsia="宋体" w:cs="宋体"/>
          <w:b/>
          <w:bCs/>
          <w:color w:val="auto"/>
          <w:lang w:val="zh-CN" w:eastAsia="zh-CN"/>
        </w:rPr>
        <w:t>九、成交服务费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成交服务费详见《报价须知前附表》。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成交供应商收到成交通知后，须在5个工作日内向采购代理机构缴纳成交服务费用及领取《成交通知书》原件，否则视为放弃成交权利和义务，采购代理机构将没收其</w:t>
      </w:r>
      <w:r>
        <w:rPr>
          <w:rFonts w:hint="eastAsia" w:hAnsi="宋体" w:cs="宋体"/>
          <w:color w:val="auto"/>
          <w:lang w:val="zh-CN" w:eastAsia="zh-CN"/>
        </w:rPr>
        <w:t>响应保证金</w:t>
      </w:r>
      <w:r>
        <w:rPr>
          <w:rFonts w:hint="eastAsia" w:ascii="宋体" w:hAnsi="宋体" w:eastAsia="宋体" w:cs="宋体"/>
          <w:color w:val="auto"/>
          <w:lang w:val="zh-CN" w:eastAsia="zh-CN"/>
        </w:rPr>
        <w:t>，并按政府采购的有关规定上缴国库。</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3.</w:t>
      </w:r>
      <w:r>
        <w:rPr>
          <w:rFonts w:hint="eastAsia" w:ascii="宋体" w:hAnsi="宋体" w:eastAsia="宋体" w:cs="宋体"/>
          <w:color w:val="auto"/>
          <w:lang w:val="zh-CN" w:eastAsia="zh-CN"/>
        </w:rPr>
        <w:t>成交服务费只收银行转帐或电汇。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eastAsia="zh-CN"/>
        </w:rPr>
        <w:t>成交服务费不在报价中单列。</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b/>
          <w:bCs/>
          <w:color w:val="auto"/>
          <w:lang w:val="zh-CN" w:eastAsia="zh-CN"/>
        </w:rPr>
      </w:pPr>
      <w:r>
        <w:rPr>
          <w:rFonts w:hint="eastAsia" w:ascii="宋体" w:hAnsi="宋体" w:eastAsia="宋体" w:cs="宋体"/>
          <w:b/>
          <w:bCs/>
          <w:color w:val="auto"/>
          <w:lang w:val="zh-CN" w:eastAsia="zh-CN"/>
        </w:rPr>
        <w:t>十、询问与质疑</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1.询问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供应商对采购活动事项（谈判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lang w:val="zh-CN" w:eastAsia="zh-CN"/>
        </w:rPr>
        <w:t>质疑</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en-US" w:eastAsia="zh-CN"/>
        </w:rPr>
        <w:t>1.</w:t>
      </w:r>
      <w:r>
        <w:rPr>
          <w:rFonts w:hint="eastAsia" w:ascii="宋体" w:hAnsi="宋体" w:eastAsia="宋体" w:cs="宋体"/>
          <w:color w:val="auto"/>
          <w:lang w:val="zh-CN" w:eastAsia="zh-CN"/>
        </w:rPr>
        <w:t>如果</w:t>
      </w:r>
      <w:r>
        <w:rPr>
          <w:rFonts w:hint="eastAsia" w:hAnsi="宋体" w:cs="宋体"/>
          <w:color w:val="auto"/>
          <w:lang w:val="zh-CN" w:eastAsia="zh-CN"/>
        </w:rPr>
        <w:t>响应供应商</w:t>
      </w:r>
      <w:r>
        <w:rPr>
          <w:rFonts w:hint="eastAsia" w:ascii="宋体" w:hAnsi="宋体" w:eastAsia="宋体" w:cs="宋体"/>
          <w:color w:val="auto"/>
          <w:lang w:val="zh-CN" w:eastAsia="zh-CN"/>
        </w:rPr>
        <w:t>对此次采购活动有疑问，可在本谈判文件规定的质疑期内依法向采购代理机构提出质疑，对同一采购程序环节的质疑须一次性提出。采购代理机构应当依法给与答复，并将结果告知有关当事人。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bookmarkStart w:id="40" w:name="_Toc382926898"/>
      <w:r>
        <w:rPr>
          <w:rFonts w:hint="eastAsia" w:ascii="宋体" w:hAnsi="宋体" w:eastAsia="宋体" w:cs="宋体"/>
          <w:color w:val="auto"/>
          <w:lang w:val="en-US" w:eastAsia="zh-CN"/>
        </w:rPr>
        <w:t>2.</w:t>
      </w:r>
      <w:r>
        <w:rPr>
          <w:rFonts w:hint="eastAsia" w:ascii="宋体" w:hAnsi="宋体" w:eastAsia="宋体" w:cs="宋体"/>
          <w:color w:val="auto"/>
          <w:lang w:val="zh-CN" w:eastAsia="zh-CN"/>
        </w:rPr>
        <w:t>质疑人提交的质疑材料应符合以下要求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（1）应当递交质疑函原件。内容包括：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a、质疑人全称、法定代表人、地址、传真、有效联系人和联系电话等基本情况；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b、质疑的具体事项、明确的请求和主张；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c、认为采购过程或采购结果使自己的合法权益受到损害的事实依据与具体理由，所依据的有关法律法规、规章制度名称及具体条款的内容；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d、质疑函应当由法定代表人签名并加盖公章；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e、提起质疑的日期。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F、以电报、电话、传真、邮寄和电子文件和电子邮件等形式的质疑，采购机构将作为不受理的依据。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（2）应当递交相关证据材料。质疑人应当在证据材料上署名并加盖公章。如涉及产品功能或技术指标的，质疑人应当出具相关制造商的证明文件原件。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（3）应递交身份证明文件。包括：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a、加盖质疑人公章的营业执照复印件；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b、加盖质疑人公章的法定代表人证明书原件及法定代表人身份证复印件；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c、质疑人委托代理人办理质疑事务的，还应当递交质疑人的授权委托书原件以及委托代理人的身份证复印件（核对原件）。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 xml:space="preserve"> </w:t>
      </w:r>
    </w:p>
    <w:p>
      <w:pPr>
        <w:kinsoku/>
        <w:overflowPunct/>
        <w:topLinePunct w:val="0"/>
        <w:bidi w:val="0"/>
        <w:outlineLvl w:val="9"/>
        <w:rPr>
          <w:rFonts w:hint="eastAsia"/>
          <w:color w:val="auto"/>
          <w:lang w:val="zh-CN" w:eastAsia="zh-CN"/>
        </w:rPr>
      </w:pPr>
      <w:r>
        <w:rPr>
          <w:rFonts w:hint="eastAsia"/>
          <w:color w:val="auto"/>
          <w:lang w:val="zh-CN" w:eastAsia="zh-CN"/>
        </w:rPr>
        <w:br w:type="page"/>
      </w:r>
    </w:p>
    <w:p>
      <w:pPr>
        <w:keepNext/>
        <w:keepLines/>
        <w:pageBreakBefore/>
        <w:widowControl w:val="0"/>
        <w:tabs>
          <w:tab w:val="left" w:pos="1080"/>
        </w:tabs>
        <w:kinsoku/>
        <w:wordWrap/>
        <w:overflowPunct/>
        <w:topLinePunct w:val="0"/>
        <w:autoSpaceDE w:val="0"/>
        <w:autoSpaceDN w:val="0"/>
        <w:bidi w:val="0"/>
        <w:adjustRightInd w:val="0"/>
        <w:snapToGrid/>
        <w:spacing w:line="460" w:lineRule="exact"/>
        <w:ind w:left="0" w:firstLine="632" w:firstLineChars="200"/>
        <w:jc w:val="center"/>
        <w:textAlignment w:val="auto"/>
        <w:outlineLvl w:val="0"/>
        <w:rPr>
          <w:rFonts w:hint="eastAsia" w:ascii="宋体" w:hAnsi="宋体" w:eastAsia="宋体" w:cs="Times New Roman"/>
          <w:b/>
          <w:bCs/>
          <w:color w:val="auto"/>
          <w:kern w:val="44"/>
          <w:sz w:val="32"/>
          <w:szCs w:val="32"/>
          <w:lang w:val="zh-CN"/>
        </w:rPr>
      </w:pPr>
      <w:bookmarkStart w:id="41" w:name="_Toc3433"/>
      <w:r>
        <w:rPr>
          <w:rFonts w:hint="eastAsia" w:hAnsi="宋体"/>
          <w:b/>
          <w:bCs/>
          <w:color w:val="auto"/>
          <w:kern w:val="44"/>
          <w:sz w:val="32"/>
          <w:szCs w:val="32"/>
          <w:lang w:val="zh-CN"/>
        </w:rPr>
        <w:br w:type="textWrapping"/>
      </w:r>
      <w:r>
        <w:rPr>
          <w:rFonts w:hint="eastAsia" w:ascii="宋体" w:hAnsi="宋体" w:eastAsia="宋体" w:cs="Times New Roman"/>
          <w:b/>
          <w:bCs/>
          <w:color w:val="auto"/>
          <w:kern w:val="44"/>
          <w:sz w:val="32"/>
          <w:szCs w:val="32"/>
          <w:lang w:val="zh-CN"/>
        </w:rPr>
        <w:t>第三篇  采购需求</w:t>
      </w:r>
      <w:bookmarkEnd w:id="41"/>
    </w:p>
    <w:p>
      <w:pPr>
        <w:kinsoku/>
        <w:overflowPunct/>
        <w:topLinePunct w:val="0"/>
        <w:bidi w:val="0"/>
        <w:jc w:val="center"/>
        <w:outlineLvl w:val="9"/>
        <w:rPr>
          <w:rFonts w:hint="eastAsia"/>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b/>
          <w:bCs/>
          <w:color w:val="auto"/>
          <w:sz w:val="24"/>
          <w:szCs w:val="24"/>
          <w:lang w:eastAsia="zh-CN"/>
        </w:rPr>
      </w:pPr>
      <w:r>
        <w:rPr>
          <w:rFonts w:hint="eastAsia"/>
          <w:b/>
          <w:bCs/>
          <w:color w:val="auto"/>
          <w:sz w:val="24"/>
          <w:szCs w:val="24"/>
          <w:lang w:eastAsia="zh-CN"/>
        </w:rPr>
        <w:t>一、采购项目内容</w:t>
      </w:r>
    </w:p>
    <w:tbl>
      <w:tblPr>
        <w:tblStyle w:val="22"/>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1319"/>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4" w:hRule="atLeast"/>
        </w:trPr>
        <w:tc>
          <w:tcPr>
            <w:tcW w:w="4911" w:type="dxa"/>
            <w:vAlign w:val="center"/>
          </w:tcPr>
          <w:p>
            <w:pPr>
              <w:kinsoku/>
              <w:overflowPunct/>
              <w:topLinePunct w:val="0"/>
              <w:bidi w:val="0"/>
              <w:jc w:val="center"/>
              <w:outlineLvl w:val="9"/>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项目内容</w:t>
            </w:r>
          </w:p>
        </w:tc>
        <w:tc>
          <w:tcPr>
            <w:tcW w:w="1319" w:type="dxa"/>
            <w:vAlign w:val="center"/>
          </w:tcPr>
          <w:p>
            <w:pPr>
              <w:kinsoku/>
              <w:overflowPunct/>
              <w:topLinePunct w:val="0"/>
              <w:bidi w:val="0"/>
              <w:jc w:val="center"/>
              <w:outlineLvl w:val="9"/>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供货期</w:t>
            </w:r>
          </w:p>
        </w:tc>
        <w:tc>
          <w:tcPr>
            <w:tcW w:w="2715" w:type="dxa"/>
            <w:vAlign w:val="center"/>
          </w:tcPr>
          <w:p>
            <w:pPr>
              <w:kinsoku/>
              <w:overflowPunct/>
              <w:topLinePunct w:val="0"/>
              <w:bidi w:val="0"/>
              <w:jc w:val="center"/>
              <w:outlineLvl w:val="9"/>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4911" w:type="dxa"/>
            <w:vAlign w:val="center"/>
          </w:tcPr>
          <w:p>
            <w:pPr>
              <w:kinsoku/>
              <w:overflowPunct/>
              <w:topLinePunct w:val="0"/>
              <w:bidi w:val="0"/>
              <w:jc w:val="center"/>
              <w:outlineLvl w:val="9"/>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洗衣房洗涤用品</w:t>
            </w:r>
          </w:p>
        </w:tc>
        <w:tc>
          <w:tcPr>
            <w:tcW w:w="1319" w:type="dxa"/>
            <w:vAlign w:val="center"/>
          </w:tcPr>
          <w:p>
            <w:pPr>
              <w:kinsoku/>
              <w:overflowPunct/>
              <w:topLinePunct w:val="0"/>
              <w:bidi w:val="0"/>
              <w:jc w:val="center"/>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3年</w:t>
            </w:r>
          </w:p>
        </w:tc>
        <w:tc>
          <w:tcPr>
            <w:tcW w:w="2715" w:type="dxa"/>
            <w:vAlign w:val="center"/>
          </w:tcPr>
          <w:p>
            <w:pPr>
              <w:kinsoku/>
              <w:overflowPunct/>
              <w:topLinePunct w:val="0"/>
              <w:bidi w:val="0"/>
              <w:jc w:val="center"/>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eastAsia="zh-CN"/>
              </w:rPr>
              <w:t>人民币</w:t>
            </w:r>
            <w:r>
              <w:rPr>
                <w:rFonts w:hint="eastAsia" w:ascii="宋体" w:hAnsi="宋体" w:eastAsia="宋体" w:cs="宋体"/>
                <w:b w:val="0"/>
                <w:bCs w:val="0"/>
                <w:color w:val="auto"/>
                <w:sz w:val="24"/>
                <w:szCs w:val="24"/>
                <w:vertAlign w:val="baseline"/>
                <w:lang w:val="en-US" w:eastAsia="zh-CN"/>
              </w:rPr>
              <w:t>30万元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供应需求</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1.洗涤范围：全院医护人员工作服、病人被服、手术布类等医用织物的体液、药渍及其他污渍。</w:t>
      </w:r>
    </w:p>
    <w:tbl>
      <w:tblPr>
        <w:tblStyle w:val="22"/>
        <w:tblpPr w:leftFromText="180" w:rightFromText="180" w:vertAnchor="text" w:horzAnchor="page" w:tblpX="1447" w:tblpY="1380"/>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055"/>
        <w:gridCol w:w="1430"/>
        <w:gridCol w:w="1119"/>
        <w:gridCol w:w="146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301"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产品名称</w:t>
            </w:r>
          </w:p>
        </w:tc>
        <w:tc>
          <w:tcPr>
            <w:tcW w:w="2055"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主要成分</w:t>
            </w:r>
          </w:p>
        </w:tc>
        <w:tc>
          <w:tcPr>
            <w:tcW w:w="1430"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功能</w:t>
            </w:r>
          </w:p>
        </w:tc>
        <w:tc>
          <w:tcPr>
            <w:tcW w:w="1119"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规格</w:t>
            </w:r>
          </w:p>
        </w:tc>
        <w:tc>
          <w:tcPr>
            <w:tcW w:w="1460"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预计用量</w:t>
            </w:r>
          </w:p>
        </w:tc>
        <w:tc>
          <w:tcPr>
            <w:tcW w:w="1580"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eastAsiaTheme="minorEastAsia"/>
                <w:b/>
                <w:bCs/>
                <w:color w:val="auto"/>
                <w:sz w:val="24"/>
                <w:szCs w:val="24"/>
                <w:vertAlign w:val="baseline"/>
                <w:lang w:val="en-US" w:eastAsia="zh-CN"/>
              </w:rPr>
            </w:pPr>
            <w:r>
              <w:rPr>
                <w:rFonts w:hint="eastAsia"/>
                <w:b/>
                <w:bCs/>
                <w:color w:val="auto"/>
                <w:sz w:val="24"/>
                <w:szCs w:val="24"/>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30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漂白消毒剂</w:t>
            </w:r>
          </w:p>
        </w:tc>
        <w:tc>
          <w:tcPr>
            <w:tcW w:w="2055"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次氯酸钠和表面活性剂，有效氯含量</w:t>
            </w:r>
            <w:r>
              <w:rPr>
                <w:rFonts w:hint="default" w:ascii="Arial" w:hAnsi="Arial" w:cs="Arial"/>
                <w:color w:val="auto"/>
                <w:sz w:val="24"/>
                <w:szCs w:val="24"/>
                <w:vertAlign w:val="baseline"/>
                <w:lang w:val="en-US" w:eastAsia="zh-CN"/>
              </w:rPr>
              <w:t>≥</w:t>
            </w:r>
            <w:r>
              <w:rPr>
                <w:rFonts w:hint="eastAsia"/>
                <w:color w:val="auto"/>
                <w:sz w:val="24"/>
                <w:szCs w:val="24"/>
                <w:vertAlign w:val="baseline"/>
                <w:lang w:val="en-US" w:eastAsia="zh-CN"/>
              </w:rPr>
              <w:t>10%</w:t>
            </w:r>
          </w:p>
        </w:tc>
        <w:tc>
          <w:tcPr>
            <w:tcW w:w="143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去污、杀菌</w:t>
            </w:r>
          </w:p>
        </w:tc>
        <w:tc>
          <w:tcPr>
            <w:tcW w:w="111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25KG/桶</w:t>
            </w:r>
          </w:p>
        </w:tc>
        <w:tc>
          <w:tcPr>
            <w:tcW w:w="146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40桶/月</w:t>
            </w:r>
          </w:p>
        </w:tc>
        <w:tc>
          <w:tcPr>
            <w:tcW w:w="158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68元/桶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0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洗衣液</w:t>
            </w:r>
          </w:p>
        </w:tc>
        <w:tc>
          <w:tcPr>
            <w:tcW w:w="2055"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非离子表面活性剂等（PH6.5-7.5）</w:t>
            </w:r>
          </w:p>
        </w:tc>
        <w:tc>
          <w:tcPr>
            <w:tcW w:w="143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强力去污迹</w:t>
            </w:r>
          </w:p>
        </w:tc>
        <w:tc>
          <w:tcPr>
            <w:tcW w:w="111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25KG/桶</w:t>
            </w:r>
          </w:p>
        </w:tc>
        <w:tc>
          <w:tcPr>
            <w:tcW w:w="146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25桶/月</w:t>
            </w:r>
          </w:p>
        </w:tc>
        <w:tc>
          <w:tcPr>
            <w:tcW w:w="158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default"/>
                <w:color w:val="auto"/>
                <w:sz w:val="24"/>
                <w:szCs w:val="24"/>
                <w:vertAlign w:val="baseline"/>
                <w:lang w:val="en-US" w:eastAsia="zh-CN"/>
              </w:rPr>
            </w:pPr>
            <w:r>
              <w:rPr>
                <w:rFonts w:hint="eastAsia"/>
                <w:color w:val="auto"/>
                <w:sz w:val="24"/>
                <w:szCs w:val="24"/>
                <w:vertAlign w:val="baseline"/>
                <w:lang w:val="en-US" w:eastAsia="zh-CN"/>
              </w:rPr>
              <w:t>196元/桶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0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bCs/>
                <w:color w:val="auto"/>
                <w:sz w:val="24"/>
                <w:szCs w:val="24"/>
                <w:vertAlign w:val="baseline"/>
                <w:lang w:val="en-US" w:eastAsia="zh-CN"/>
              </w:rPr>
              <w:t>衣领净</w:t>
            </w:r>
          </w:p>
        </w:tc>
        <w:tc>
          <w:tcPr>
            <w:tcW w:w="2055"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表面活性剂、溶剂、助洗剂等</w:t>
            </w:r>
          </w:p>
        </w:tc>
        <w:tc>
          <w:tcPr>
            <w:tcW w:w="143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去污、去渍</w:t>
            </w:r>
          </w:p>
        </w:tc>
        <w:tc>
          <w:tcPr>
            <w:tcW w:w="111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Style w:val="71"/>
                <w:rFonts w:eastAsia="宋体"/>
                <w:color w:val="auto"/>
                <w:sz w:val="24"/>
                <w:szCs w:val="24"/>
                <w:lang w:val="en-US" w:eastAsia="zh-CN" w:bidi="ar"/>
              </w:rPr>
              <w:t>5L</w:t>
            </w:r>
            <w:r>
              <w:rPr>
                <w:rFonts w:hint="eastAsia"/>
                <w:b w:val="0"/>
                <w:bCs w:val="0"/>
                <w:color w:val="auto"/>
                <w:sz w:val="24"/>
                <w:szCs w:val="24"/>
                <w:vertAlign w:val="baseline"/>
                <w:lang w:val="en-US" w:eastAsia="zh-CN"/>
              </w:rPr>
              <w:t>/瓶</w:t>
            </w:r>
          </w:p>
        </w:tc>
        <w:tc>
          <w:tcPr>
            <w:tcW w:w="146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2瓶/月</w:t>
            </w:r>
          </w:p>
        </w:tc>
        <w:tc>
          <w:tcPr>
            <w:tcW w:w="158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138元/瓶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0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b/>
                <w:bCs/>
                <w:color w:val="auto"/>
                <w:sz w:val="24"/>
                <w:szCs w:val="24"/>
                <w:vertAlign w:val="baseline"/>
                <w:lang w:val="en-US" w:eastAsia="zh-CN"/>
              </w:rPr>
              <w:t>中和剂</w:t>
            </w:r>
          </w:p>
        </w:tc>
        <w:tc>
          <w:tcPr>
            <w:tcW w:w="2055"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弱酸性产品</w:t>
            </w:r>
          </w:p>
        </w:tc>
        <w:tc>
          <w:tcPr>
            <w:tcW w:w="143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中和衣物的残留碱、氯</w:t>
            </w:r>
          </w:p>
        </w:tc>
        <w:tc>
          <w:tcPr>
            <w:tcW w:w="111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Style w:val="71"/>
                <w:rFonts w:hint="eastAsia" w:eastAsia="宋体"/>
                <w:color w:val="auto"/>
                <w:sz w:val="24"/>
                <w:szCs w:val="24"/>
                <w:lang w:val="en-US" w:eastAsia="zh-CN" w:bidi="ar"/>
              </w:rPr>
            </w:pPr>
            <w:r>
              <w:rPr>
                <w:rStyle w:val="71"/>
                <w:rFonts w:eastAsia="宋体"/>
                <w:color w:val="auto"/>
                <w:sz w:val="24"/>
                <w:szCs w:val="24"/>
                <w:lang w:val="en-US" w:eastAsia="zh-CN" w:bidi="ar"/>
              </w:rPr>
              <w:t>25KG/桶</w:t>
            </w:r>
          </w:p>
        </w:tc>
        <w:tc>
          <w:tcPr>
            <w:tcW w:w="146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eastAsiaTheme="minorEastAsia"/>
                <w:b w:val="0"/>
                <w:bCs w:val="0"/>
                <w:color w:val="auto"/>
                <w:sz w:val="24"/>
                <w:szCs w:val="24"/>
                <w:vertAlign w:val="baseline"/>
                <w:lang w:val="en-US" w:eastAsia="zh-CN"/>
              </w:rPr>
            </w:pPr>
            <w:r>
              <w:rPr>
                <w:rFonts w:hint="eastAsia"/>
                <w:color w:val="auto"/>
                <w:sz w:val="24"/>
                <w:szCs w:val="24"/>
                <w:lang w:val="en-US" w:eastAsia="zh-CN"/>
              </w:rPr>
              <w:t>4桶</w:t>
            </w:r>
            <w:r>
              <w:rPr>
                <w:rFonts w:hint="eastAsia"/>
                <w:b w:val="0"/>
                <w:bCs w:val="0"/>
                <w:color w:val="auto"/>
                <w:sz w:val="24"/>
                <w:szCs w:val="24"/>
                <w:vertAlign w:val="baseline"/>
                <w:lang w:val="en-US" w:eastAsia="zh-CN"/>
              </w:rPr>
              <w:t>/年</w:t>
            </w:r>
          </w:p>
        </w:tc>
        <w:tc>
          <w:tcPr>
            <w:tcW w:w="158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625元/桶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trPr>
        <w:tc>
          <w:tcPr>
            <w:tcW w:w="1301"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bCs/>
                <w:color w:val="auto"/>
                <w:sz w:val="24"/>
                <w:szCs w:val="2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乳化剂</w:t>
            </w:r>
          </w:p>
        </w:tc>
        <w:tc>
          <w:tcPr>
            <w:tcW w:w="2055"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b w:val="0"/>
                <w:bCs w:val="0"/>
                <w:color w:val="auto"/>
                <w:sz w:val="24"/>
                <w:szCs w:val="24"/>
                <w:vertAlign w:val="baseline"/>
                <w:lang w:val="en-US" w:eastAsia="zh-CN"/>
              </w:rPr>
            </w:pPr>
          </w:p>
        </w:tc>
        <w:tc>
          <w:tcPr>
            <w:tcW w:w="143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去除顽固油污，如药油、按摩油、桌布油、机油等</w:t>
            </w:r>
          </w:p>
        </w:tc>
        <w:tc>
          <w:tcPr>
            <w:tcW w:w="1119"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Style w:val="71"/>
                <w:rFonts w:hint="eastAsia" w:eastAsia="宋体"/>
                <w:color w:val="auto"/>
                <w:sz w:val="24"/>
                <w:szCs w:val="24"/>
                <w:lang w:val="en-US" w:eastAsia="zh-CN" w:bidi="ar"/>
              </w:rPr>
            </w:pPr>
            <w:r>
              <w:rPr>
                <w:rStyle w:val="71"/>
                <w:rFonts w:eastAsia="宋体"/>
                <w:color w:val="auto"/>
                <w:sz w:val="24"/>
                <w:szCs w:val="24"/>
                <w:lang w:val="en-US" w:eastAsia="zh-CN" w:bidi="ar"/>
              </w:rPr>
              <w:t>25KG/桶</w:t>
            </w:r>
          </w:p>
        </w:tc>
        <w:tc>
          <w:tcPr>
            <w:tcW w:w="146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color w:val="auto"/>
                <w:sz w:val="24"/>
                <w:szCs w:val="24"/>
                <w:lang w:val="en-US" w:eastAsia="zh-CN"/>
              </w:rPr>
              <w:t>1桶</w:t>
            </w:r>
            <w:r>
              <w:rPr>
                <w:rFonts w:hint="eastAsia"/>
                <w:b w:val="0"/>
                <w:bCs w:val="0"/>
                <w:color w:val="auto"/>
                <w:sz w:val="24"/>
                <w:szCs w:val="24"/>
                <w:vertAlign w:val="baseline"/>
                <w:lang w:val="en-US" w:eastAsia="zh-CN"/>
              </w:rPr>
              <w:t>/年</w:t>
            </w:r>
          </w:p>
        </w:tc>
        <w:tc>
          <w:tcPr>
            <w:tcW w:w="158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850元/桶</w:t>
            </w:r>
          </w:p>
        </w:tc>
      </w:tr>
    </w:tbl>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2.采购清单：</w:t>
      </w:r>
      <w:r>
        <w:rPr>
          <w:rFonts w:hint="eastAsia" w:ascii="宋体" w:hAnsi="宋体" w:eastAsia="宋体" w:cs="宋体"/>
          <w:color w:val="auto"/>
          <w:sz w:val="24"/>
          <w:szCs w:val="24"/>
          <w:lang w:eastAsia="zh-CN"/>
        </w:rPr>
        <w:t>按照医院使用需求及时</w:t>
      </w:r>
      <w:r>
        <w:rPr>
          <w:rFonts w:hint="eastAsia" w:ascii="宋体" w:hAnsi="宋体" w:eastAsia="宋体" w:cs="宋体"/>
          <w:color w:val="auto"/>
          <w:sz w:val="24"/>
          <w:szCs w:val="24"/>
        </w:rPr>
        <w:t>供应，</w:t>
      </w:r>
      <w:r>
        <w:rPr>
          <w:rFonts w:hint="eastAsia" w:ascii="宋体" w:hAnsi="宋体" w:eastAsia="宋体" w:cs="宋体"/>
          <w:color w:val="auto"/>
          <w:sz w:val="24"/>
          <w:szCs w:val="24"/>
          <w:lang w:eastAsia="zh-CN"/>
        </w:rPr>
        <w:t>下单后保证</w:t>
      </w:r>
      <w:r>
        <w:rPr>
          <w:rFonts w:hint="eastAsia" w:ascii="宋体" w:hAnsi="宋体" w:eastAsia="宋体" w:cs="宋体"/>
          <w:color w:val="auto"/>
          <w:sz w:val="24"/>
          <w:szCs w:val="24"/>
          <w:lang w:val="en-US" w:eastAsia="zh-CN"/>
        </w:rPr>
        <w:t>24小时内送货上门。（</w:t>
      </w:r>
      <w:r>
        <w:rPr>
          <w:rFonts w:hint="eastAsia" w:ascii="宋体" w:hAnsi="宋体" w:eastAsia="宋体" w:cs="宋体"/>
          <w:color w:val="auto"/>
          <w:sz w:val="24"/>
          <w:szCs w:val="24"/>
        </w:rPr>
        <w:t>平均</w:t>
      </w:r>
      <w:r>
        <w:rPr>
          <w:rFonts w:hint="eastAsia" w:ascii="宋体" w:hAnsi="宋体" w:eastAsia="宋体" w:cs="宋体"/>
          <w:color w:val="auto"/>
          <w:sz w:val="24"/>
          <w:szCs w:val="24"/>
          <w:lang w:eastAsia="zh-CN"/>
        </w:rPr>
        <w:t>每月预计需求量：</w:t>
      </w:r>
      <w:r>
        <w:rPr>
          <w:rFonts w:hint="eastAsia" w:hAnsi="宋体" w:cs="宋体"/>
          <w:color w:val="auto"/>
          <w:sz w:val="24"/>
          <w:szCs w:val="24"/>
          <w:lang w:val="en-US" w:eastAsia="zh-CN"/>
        </w:rPr>
        <w:t>漂白消毒剂</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桶，洗衣液</w:t>
      </w: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5</w:t>
      </w:r>
      <w:r>
        <w:rPr>
          <w:rFonts w:hint="eastAsia" w:ascii="宋体" w:hAnsi="宋体" w:eastAsia="宋体" w:cs="宋体"/>
          <w:color w:val="auto"/>
          <w:sz w:val="24"/>
          <w:szCs w:val="24"/>
        </w:rPr>
        <w:t>桶，衣领净</w:t>
      </w:r>
      <w:r>
        <w:rPr>
          <w:rFonts w:hint="eastAsia" w:ascii="宋体" w:hAnsi="宋体" w:eastAsia="宋体" w:cs="宋体"/>
          <w:color w:val="auto"/>
          <w:sz w:val="24"/>
          <w:szCs w:val="24"/>
          <w:lang w:val="en-US" w:eastAsia="zh-CN"/>
        </w:rPr>
        <w:t>2瓶；</w:t>
      </w:r>
      <w:r>
        <w:rPr>
          <w:rFonts w:hint="eastAsia" w:ascii="宋体" w:hAnsi="宋体" w:eastAsia="宋体" w:cs="宋体"/>
          <w:color w:val="auto"/>
          <w:sz w:val="24"/>
          <w:szCs w:val="24"/>
          <w:lang w:eastAsia="zh-CN"/>
        </w:rPr>
        <w:t>每年需求中和剂</w:t>
      </w:r>
      <w:r>
        <w:rPr>
          <w:rFonts w:hint="eastAsia" w:ascii="宋体" w:hAnsi="宋体" w:eastAsia="宋体" w:cs="宋体"/>
          <w:color w:val="auto"/>
          <w:sz w:val="24"/>
          <w:szCs w:val="24"/>
          <w:lang w:val="en-US" w:eastAsia="zh-CN"/>
        </w:rPr>
        <w:t>4桶，去油剂1桶）</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w:t>
      </w:r>
      <w:r>
        <w:rPr>
          <w:rFonts w:hint="eastAsia" w:hAnsi="宋体" w:cs="宋体"/>
          <w:b/>
          <w:bCs/>
          <w:color w:val="auto"/>
          <w:sz w:val="24"/>
          <w:szCs w:val="24"/>
          <w:lang w:val="en-US" w:eastAsia="zh-CN"/>
        </w:rPr>
        <w:t>1.</w:t>
      </w:r>
      <w:r>
        <w:rPr>
          <w:rFonts w:hint="eastAsia" w:ascii="宋体" w:hAnsi="宋体" w:eastAsia="宋体" w:cs="宋体"/>
          <w:b/>
          <w:bCs/>
          <w:color w:val="auto"/>
          <w:sz w:val="24"/>
          <w:szCs w:val="24"/>
          <w:lang w:eastAsia="zh-CN"/>
        </w:rPr>
        <w:t>合同期内单价不得调整，货物单价包括但不限于</w:t>
      </w:r>
      <w:r>
        <w:rPr>
          <w:rFonts w:hint="eastAsia" w:asciiTheme="minorEastAsia" w:hAnsiTheme="minorEastAsia" w:cstheme="minorEastAsia"/>
          <w:color w:val="auto"/>
          <w:kern w:val="28"/>
          <w:sz w:val="24"/>
          <w:szCs w:val="24"/>
          <w:lang w:val="en-US" w:eastAsia="zh-CN"/>
        </w:rPr>
        <w:t>货物费用、运输费</w:t>
      </w:r>
      <w:r>
        <w:rPr>
          <w:rFonts w:hint="eastAsia" w:asciiTheme="minorEastAsia" w:hAnsiTheme="minorEastAsia" w:eastAsiaTheme="minorEastAsia" w:cstheme="minorEastAsia"/>
          <w:color w:val="auto"/>
          <w:kern w:val="28"/>
          <w:sz w:val="24"/>
          <w:szCs w:val="24"/>
          <w:lang w:val="en-US" w:eastAsia="zh-CN"/>
        </w:rPr>
        <w:t>、</w:t>
      </w:r>
      <w:r>
        <w:rPr>
          <w:rFonts w:hint="eastAsia" w:asciiTheme="minorEastAsia" w:hAnsiTheme="minorEastAsia" w:cstheme="minorEastAsia"/>
          <w:color w:val="auto"/>
          <w:kern w:val="28"/>
          <w:sz w:val="24"/>
          <w:szCs w:val="24"/>
          <w:lang w:val="en-US" w:eastAsia="zh-CN"/>
        </w:rPr>
        <w:t>人员经费、保险费、</w:t>
      </w:r>
      <w:r>
        <w:rPr>
          <w:rFonts w:hint="eastAsia" w:asciiTheme="minorEastAsia" w:hAnsiTheme="minorEastAsia" w:eastAsiaTheme="minorEastAsia" w:cstheme="minorEastAsia"/>
          <w:color w:val="auto"/>
          <w:kern w:val="28"/>
          <w:sz w:val="24"/>
          <w:szCs w:val="24"/>
          <w:lang w:val="en-US" w:eastAsia="zh-CN"/>
        </w:rPr>
        <w:t>各项税费及合同实施过程中不可预见费用等项目相关的一切费用</w:t>
      </w:r>
      <w:r>
        <w:rPr>
          <w:rFonts w:hint="eastAsia" w:ascii="宋体" w:hAnsi="宋体" w:eastAsia="宋体" w:cs="宋体"/>
          <w:b/>
          <w:bCs/>
          <w:color w:val="auto"/>
          <w:sz w:val="24"/>
          <w:szCs w:val="24"/>
          <w:lang w:eastAsia="zh-CN"/>
        </w:rPr>
        <w:t>。</w:t>
      </w:r>
    </w:p>
    <w:p>
      <w:pPr>
        <w:pStyle w:val="3"/>
        <w:ind w:firstLine="472" w:firstLineChars="200"/>
        <w:rPr>
          <w:rFonts w:hint="default"/>
          <w:color w:val="auto"/>
          <w:lang w:val="en-US" w:eastAsia="zh-CN"/>
        </w:rPr>
      </w:pPr>
      <w:r>
        <w:rPr>
          <w:rFonts w:hint="eastAsia" w:hAnsi="宋体" w:cs="宋体"/>
          <w:b/>
          <w:bCs/>
          <w:color w:val="auto"/>
          <w:sz w:val="24"/>
          <w:szCs w:val="24"/>
          <w:lang w:val="en-US" w:eastAsia="zh-CN"/>
        </w:rPr>
        <w:t>2.如投标每桶规格与采购清单不一致，按上述规格报价，送货时按量折算。如：“</w:t>
      </w:r>
      <w:r>
        <w:rPr>
          <w:rFonts w:hint="eastAsia"/>
          <w:b/>
          <w:bCs/>
          <w:color w:val="auto"/>
          <w:sz w:val="24"/>
          <w:szCs w:val="24"/>
          <w:vertAlign w:val="baseline"/>
          <w:lang w:val="en-US" w:eastAsia="zh-CN"/>
        </w:rPr>
        <w:t>洗衣液”实际规格为20KG/桶，投标按25KG/桶报价，送货按重量折算。</w:t>
      </w:r>
    </w:p>
    <w:p>
      <w:pPr>
        <w:keepNext w:val="0"/>
        <w:keepLines w:val="0"/>
        <w:pageBreakBefore w:val="0"/>
        <w:widowControl w:val="0"/>
        <w:numPr>
          <w:ilvl w:val="0"/>
          <w:numId w:val="0"/>
        </w:numPr>
        <w:kinsoku/>
        <w:wordWrap/>
        <w:overflowPunct/>
        <w:topLinePunct w:val="0"/>
        <w:bidi w:val="0"/>
        <w:snapToGrid/>
        <w:spacing w:line="460" w:lineRule="exact"/>
        <w:ind w:firstLine="472" w:firstLineChars="200"/>
        <w:textAlignment w:val="auto"/>
        <w:outlineLvl w:val="9"/>
        <w:rPr>
          <w:rFonts w:hint="eastAsia"/>
          <w:color w:val="auto"/>
          <w:sz w:val="24"/>
          <w:szCs w:val="24"/>
          <w:lang w:eastAsia="zh-CN"/>
        </w:rPr>
      </w:pPr>
      <w:r>
        <w:rPr>
          <w:rFonts w:hint="eastAsia" w:ascii="宋体" w:hAnsi="宋体" w:cs="宋体"/>
          <w:b/>
          <w:bCs/>
          <w:color w:val="auto"/>
          <w:sz w:val="24"/>
          <w:szCs w:val="24"/>
          <w:lang w:eastAsia="zh-CN"/>
        </w:rPr>
        <w:t>三、货物参数</w:t>
      </w:r>
    </w:p>
    <w:tbl>
      <w:tblPr>
        <w:tblStyle w:val="21"/>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609"/>
        <w:gridCol w:w="2112"/>
        <w:gridCol w:w="2637"/>
        <w:gridCol w:w="3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无磷洗衣液</w:t>
            </w: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外观</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left"/>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不分层，无悬浮物(加入均匀悬浮颗粒组分的产品除外)或沉淀，无机械杂质的均匀液体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气味</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无异味，符合规定香型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稳定性</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耐热</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在(40士2) ℃下保持24h,恢复至室温后与实验前无明显变化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耐寒</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于(-5士2)℃下保持24h，恢复至室温后与实验前无明显变化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总活性物</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pH(25℃,1%溶液)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规定污布的去污力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JB-01(碳黑油污布)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JB-02(蛋白污布)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JB-03(皮脂污布)</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总五氧化二磷</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乳化剂</w:t>
            </w: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外观</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均匀，无机械杂质。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气味</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稳定性</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(40士2)℃恒温 24h、不分层.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(-5士2)℃恒湿 24h恢复到 15-25℃不分层、无沉底。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总活性物（表面活性物）</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pH(25℃,1%溶液)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相对标准去污比值</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JB-01(碳黑油污布)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JB-02(蛋白污布)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JB-03(皮脂污布)</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漂白</w:t>
            </w:r>
            <w:r>
              <w:rPr>
                <w:rFonts w:hint="eastAsia" w:hAnsi="宋体" w:cs="宋体"/>
                <w:i w:val="0"/>
                <w:iCs w:val="0"/>
                <w:color w:val="auto"/>
                <w:kern w:val="0"/>
                <w:sz w:val="24"/>
                <w:szCs w:val="24"/>
                <w:u w:val="none"/>
                <w:lang w:val="en-US" w:eastAsia="zh-CN" w:bidi="ar"/>
              </w:rPr>
              <w:t>消毒</w:t>
            </w:r>
            <w:r>
              <w:rPr>
                <w:rFonts w:hint="eastAsia" w:ascii="宋体" w:hAnsi="宋体" w:eastAsia="宋体" w:cs="宋体"/>
                <w:i w:val="0"/>
                <w:iCs w:val="0"/>
                <w:color w:val="auto"/>
                <w:kern w:val="0"/>
                <w:sz w:val="24"/>
                <w:szCs w:val="24"/>
                <w:u w:val="none"/>
                <w:lang w:val="en-US" w:eastAsia="zh-CN" w:bidi="ar"/>
              </w:rPr>
              <w:t>剂</w:t>
            </w: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外观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浅黄色液体 浅黄色液体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有效氯 %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 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游离碱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铁含量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铅含量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砷含量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中和剂</w:t>
            </w: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外观</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均匀，无机械杂质、无色液体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气味</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稳定性</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(40±2)℃恒温 24h、不分层。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(-5士2)℃恒湿 24h恢复到 15-25℃不分层、有微小沉淀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总酸度</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Ph 值(25℃1% 溶液)</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泡沫(2.55mmdca./L硬水0.25%溶液≤130g)/m1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相对标准比值  </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w:t>
            </w:r>
          </w:p>
        </w:tc>
        <w:tc>
          <w:tcPr>
            <w:tcW w:w="6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衣领净</w:t>
            </w: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总活性物（表面活性物）</w:t>
            </w:r>
          </w:p>
        </w:tc>
        <w:tc>
          <w:tcPr>
            <w:tcW w:w="3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4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Ph 值(25℃1% 溶液)</w:t>
            </w:r>
          </w:p>
        </w:tc>
        <w:tc>
          <w:tcPr>
            <w:tcW w:w="30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 w:hRule="atLeast"/>
        </w:trPr>
        <w:tc>
          <w:tcPr>
            <w:tcW w:w="4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60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sz w:val="24"/>
                <w:szCs w:val="24"/>
                <w:u w:val="none"/>
              </w:rPr>
            </w:pPr>
          </w:p>
        </w:tc>
        <w:tc>
          <w:tcPr>
            <w:tcW w:w="21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相对标准</w:t>
            </w:r>
          </w:p>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去污比值</w:t>
            </w:r>
          </w:p>
        </w:tc>
        <w:tc>
          <w:tcPr>
            <w:tcW w:w="26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JB-01(碳黑油污布)  </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 w:hRule="atLeast"/>
        </w:trPr>
        <w:tc>
          <w:tcPr>
            <w:tcW w:w="49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color w:val="auto"/>
                <w:sz w:val="24"/>
                <w:szCs w:val="24"/>
              </w:rPr>
            </w:pPr>
          </w:p>
        </w:tc>
        <w:tc>
          <w:tcPr>
            <w:tcW w:w="6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color w:val="auto"/>
                <w:sz w:val="24"/>
                <w:szCs w:val="24"/>
              </w:rPr>
            </w:pPr>
          </w:p>
        </w:tc>
        <w:tc>
          <w:tcPr>
            <w:tcW w:w="211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color w:val="auto"/>
                <w:sz w:val="24"/>
                <w:szCs w:val="24"/>
              </w:rPr>
            </w:pPr>
          </w:p>
        </w:tc>
        <w:tc>
          <w:tcPr>
            <w:tcW w:w="26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JB-02(蛋白污布) </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4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c>
          <w:tcPr>
            <w:tcW w:w="6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p>
        </w:tc>
        <w:tc>
          <w:tcPr>
            <w:tcW w:w="21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400" w:lineRule="exact"/>
              <w:jc w:val="center"/>
              <w:outlineLvl w:val="9"/>
              <w:rPr>
                <w:rFonts w:hint="eastAsia" w:ascii="宋体" w:hAnsi="宋体" w:eastAsia="宋体" w:cs="宋体"/>
                <w:i w:val="0"/>
                <w:iCs w:val="0"/>
                <w:color w:val="auto"/>
                <w:kern w:val="0"/>
                <w:sz w:val="24"/>
                <w:szCs w:val="24"/>
                <w:u w:val="none"/>
                <w:lang w:val="en-US" w:eastAsia="zh-CN" w:bidi="ar"/>
              </w:rPr>
            </w:pPr>
          </w:p>
        </w:tc>
        <w:tc>
          <w:tcPr>
            <w:tcW w:w="26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JB-03(皮脂污布)</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400" w:lineRule="exact"/>
              <w:jc w:val="center"/>
              <w:textAlignment w:val="center"/>
              <w:outlineLvl w:val="9"/>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≥1.0 </w:t>
            </w:r>
          </w:p>
        </w:tc>
      </w:tr>
    </w:tbl>
    <w:p>
      <w:pPr>
        <w:keepNext w:val="0"/>
        <w:keepLines w:val="0"/>
        <w:pageBreakBefore w:val="0"/>
        <w:widowControl w:val="0"/>
        <w:kinsoku/>
        <w:wordWrap/>
        <w:overflowPunct/>
        <w:topLinePunct w:val="0"/>
        <w:bidi w:val="0"/>
        <w:snapToGrid/>
        <w:spacing w:line="460" w:lineRule="exact"/>
        <w:ind w:firstLine="472" w:firstLineChars="200"/>
        <w:textAlignment w:val="auto"/>
        <w:outlineLvl w:val="9"/>
        <w:rPr>
          <w:rFonts w:hint="eastAsia" w:hAnsi="宋体" w:cs="宋体"/>
          <w:color w:val="auto"/>
          <w:sz w:val="24"/>
          <w:szCs w:val="24"/>
          <w:lang w:val="en-US" w:eastAsia="zh-CN"/>
        </w:rPr>
      </w:pPr>
      <w:r>
        <w:rPr>
          <w:rFonts w:hint="eastAsia" w:hAnsi="宋体" w:cs="宋体"/>
          <w:color w:val="auto"/>
          <w:sz w:val="24"/>
          <w:szCs w:val="24"/>
          <w:lang w:val="en-US" w:eastAsia="zh-CN"/>
        </w:rPr>
        <w:t>说明：</w:t>
      </w:r>
    </w:p>
    <w:p>
      <w:pPr>
        <w:keepNext w:val="0"/>
        <w:keepLines w:val="0"/>
        <w:pageBreakBefore w:val="0"/>
        <w:widowControl w:val="0"/>
        <w:kinsoku/>
        <w:wordWrap/>
        <w:overflowPunct/>
        <w:topLinePunct w:val="0"/>
        <w:bidi w:val="0"/>
        <w:snapToGrid/>
        <w:spacing w:line="460" w:lineRule="exact"/>
        <w:ind w:firstLine="472" w:firstLineChars="200"/>
        <w:textAlignment w:val="auto"/>
        <w:outlineLvl w:val="9"/>
        <w:rPr>
          <w:rFonts w:hint="eastAsia" w:hAnsi="宋体" w:cs="宋体"/>
          <w:color w:val="auto"/>
          <w:sz w:val="24"/>
          <w:szCs w:val="24"/>
          <w:lang w:val="en-US" w:eastAsia="zh-CN"/>
        </w:rPr>
      </w:pPr>
      <w:r>
        <w:rPr>
          <w:rFonts w:hint="eastAsia" w:hAnsi="宋体" w:cs="宋体"/>
          <w:color w:val="auto"/>
          <w:sz w:val="24"/>
          <w:szCs w:val="24"/>
          <w:lang w:val="en-US" w:eastAsia="zh-CN"/>
        </w:rPr>
        <w:t>1.必须</w:t>
      </w:r>
      <w:r>
        <w:rPr>
          <w:rFonts w:hint="eastAsia" w:ascii="宋体" w:hAnsi="宋体" w:eastAsia="宋体" w:cs="宋体"/>
          <w:color w:val="auto"/>
          <w:sz w:val="24"/>
          <w:szCs w:val="24"/>
          <w:lang w:val="en-US" w:eastAsia="zh-CN"/>
        </w:rPr>
        <w:t>提供</w:t>
      </w:r>
      <w:r>
        <w:rPr>
          <w:rFonts w:hint="eastAsia" w:hAnsi="宋体" w:cs="宋体"/>
          <w:color w:val="auto"/>
          <w:sz w:val="24"/>
          <w:szCs w:val="24"/>
          <w:lang w:val="en-US" w:eastAsia="zh-CN"/>
        </w:rPr>
        <w:t>所投产品的</w:t>
      </w:r>
      <w:r>
        <w:rPr>
          <w:rFonts w:hint="eastAsia" w:ascii="宋体" w:hAnsi="宋体" w:eastAsia="宋体" w:cs="宋体"/>
          <w:color w:val="auto"/>
          <w:sz w:val="24"/>
          <w:szCs w:val="24"/>
          <w:lang w:val="en-US" w:eastAsia="zh-CN"/>
        </w:rPr>
        <w:t>有效检测合格报告</w:t>
      </w:r>
      <w:r>
        <w:rPr>
          <w:rFonts w:hint="eastAsia" w:hAnsi="宋体" w:cs="宋体"/>
          <w:color w:val="auto"/>
          <w:sz w:val="24"/>
          <w:szCs w:val="24"/>
          <w:lang w:val="en-US" w:eastAsia="zh-CN"/>
        </w:rPr>
        <w:t>。</w:t>
      </w:r>
    </w:p>
    <w:p>
      <w:pPr>
        <w:pStyle w:val="3"/>
        <w:ind w:firstLine="472" w:firstLineChars="200"/>
        <w:rPr>
          <w:rFonts w:hint="eastAsia" w:hAnsi="宋体" w:cs="宋体"/>
          <w:color w:val="auto"/>
          <w:sz w:val="24"/>
          <w:szCs w:val="24"/>
          <w:lang w:val="en-US" w:eastAsia="zh-CN"/>
        </w:rPr>
      </w:pPr>
      <w:r>
        <w:rPr>
          <w:rFonts w:hint="eastAsia" w:hAnsi="宋体" w:cs="宋体"/>
          <w:color w:val="auto"/>
          <w:sz w:val="24"/>
          <w:szCs w:val="24"/>
          <w:lang w:val="en-US" w:eastAsia="zh-CN"/>
        </w:rPr>
        <w:t>2.必须</w:t>
      </w:r>
      <w:r>
        <w:rPr>
          <w:rFonts w:hint="eastAsia" w:ascii="宋体" w:hAnsi="宋体" w:eastAsia="宋体" w:cs="宋体"/>
          <w:color w:val="auto"/>
          <w:sz w:val="24"/>
          <w:szCs w:val="24"/>
          <w:lang w:val="en-US" w:eastAsia="zh-CN"/>
        </w:rPr>
        <w:t>提供</w:t>
      </w:r>
      <w:r>
        <w:rPr>
          <w:rFonts w:hint="eastAsia" w:hAnsi="宋体" w:cs="宋体"/>
          <w:color w:val="auto"/>
          <w:sz w:val="24"/>
          <w:szCs w:val="24"/>
          <w:lang w:val="en-US" w:eastAsia="zh-CN"/>
        </w:rPr>
        <w:t>所投产品完整外观图片（包含正反面）。</w:t>
      </w:r>
    </w:p>
    <w:p>
      <w:pPr>
        <w:pStyle w:val="3"/>
        <w:ind w:firstLine="472" w:firstLineChars="200"/>
        <w:rPr>
          <w:rFonts w:hint="eastAsia" w:hAnsi="宋体" w:cs="宋体"/>
          <w:color w:val="auto"/>
          <w:sz w:val="24"/>
          <w:szCs w:val="24"/>
          <w:lang w:val="en-GB" w:eastAsia="zh-CN"/>
        </w:rPr>
      </w:pPr>
      <w:r>
        <w:rPr>
          <w:rFonts w:hint="eastAsia" w:hAnsi="宋体" w:cs="宋体"/>
          <w:color w:val="auto"/>
          <w:sz w:val="24"/>
          <w:szCs w:val="24"/>
          <w:lang w:val="en-US" w:eastAsia="zh-CN"/>
        </w:rPr>
        <w:t>3.必须提供</w:t>
      </w:r>
      <w:r>
        <w:rPr>
          <w:rFonts w:hint="eastAsia" w:hAnsi="宋体" w:cs="宋体"/>
          <w:color w:val="auto"/>
        </w:rPr>
        <w:t>近三年内（自本项目招标公告发布之日起往前顺推）（以合同签订时间为准</w:t>
      </w:r>
      <w:r>
        <w:rPr>
          <w:rFonts w:hint="eastAsia" w:hAnsi="宋体" w:cs="宋体"/>
          <w:color w:val="auto"/>
          <w:lang w:eastAsia="zh-CN"/>
        </w:rPr>
        <w:t>（</w:t>
      </w:r>
      <w:r>
        <w:rPr>
          <w:rFonts w:hint="eastAsia" w:hAnsi="宋体" w:cs="宋体"/>
          <w:color w:val="auto"/>
          <w:lang w:val="en-US" w:eastAsia="zh-CN"/>
        </w:rPr>
        <w:t>提供发票的以发票日期为准</w:t>
      </w:r>
      <w:r>
        <w:rPr>
          <w:rFonts w:hint="eastAsia" w:hAnsi="宋体" w:cs="宋体"/>
          <w:color w:val="auto"/>
          <w:lang w:eastAsia="zh-CN"/>
        </w:rPr>
        <w:t>）</w:t>
      </w:r>
      <w:r>
        <w:rPr>
          <w:rFonts w:hint="eastAsia" w:hAnsi="宋体" w:cs="宋体"/>
          <w:color w:val="auto"/>
        </w:rPr>
        <w:t>）至投标截止前投标人独立承担</w:t>
      </w:r>
      <w:r>
        <w:rPr>
          <w:rFonts w:hint="eastAsia" w:hAnsi="宋体" w:cs="宋体"/>
          <w:color w:val="auto"/>
          <w:sz w:val="24"/>
          <w:szCs w:val="24"/>
          <w:lang w:val="en-US" w:eastAsia="zh-CN"/>
        </w:rPr>
        <w:t>所投产品</w:t>
      </w:r>
      <w:r>
        <w:rPr>
          <w:rFonts w:hint="eastAsia" w:ascii="宋体" w:hAnsi="宋体" w:eastAsia="宋体" w:cs="宋体"/>
          <w:color w:val="auto"/>
          <w:sz w:val="24"/>
          <w:szCs w:val="24"/>
          <w:highlight w:val="none"/>
          <w:lang w:val="en-GB"/>
        </w:rPr>
        <w:t>项目业绩</w:t>
      </w:r>
      <w:r>
        <w:rPr>
          <w:rFonts w:hint="eastAsia" w:hAnsi="宋体" w:cs="宋体"/>
          <w:color w:val="auto"/>
          <w:sz w:val="24"/>
          <w:szCs w:val="24"/>
          <w:lang w:val="en-GB" w:eastAsia="zh-CN"/>
        </w:rPr>
        <w:t>（</w:t>
      </w:r>
      <w:r>
        <w:rPr>
          <w:rFonts w:hint="eastAsia" w:hAnsi="宋体" w:cs="宋体"/>
          <w:color w:val="auto"/>
          <w:sz w:val="24"/>
          <w:szCs w:val="24"/>
          <w:lang w:val="en-US" w:eastAsia="zh-CN"/>
        </w:rPr>
        <w:t>提供合同或销售发票复印件</w:t>
      </w:r>
      <w:r>
        <w:rPr>
          <w:rFonts w:hint="eastAsia" w:hAnsi="宋体" w:cs="宋体"/>
          <w:color w:val="auto"/>
          <w:sz w:val="24"/>
          <w:szCs w:val="24"/>
          <w:lang w:val="en-GB" w:eastAsia="zh-CN"/>
        </w:rPr>
        <w:t>）。</w:t>
      </w:r>
    </w:p>
    <w:p>
      <w:pPr>
        <w:ind w:firstLine="472" w:firstLineChars="200"/>
        <w:rPr>
          <w:rFonts w:hint="default"/>
          <w:color w:val="auto"/>
          <w:highlight w:val="none"/>
          <w:lang w:val="en-US" w:eastAsia="zh-CN"/>
        </w:rPr>
      </w:pPr>
      <w:r>
        <w:rPr>
          <w:rFonts w:hint="eastAsia" w:hAnsi="宋体" w:cs="宋体"/>
          <w:color w:val="auto"/>
          <w:sz w:val="24"/>
          <w:szCs w:val="24"/>
          <w:highlight w:val="none"/>
          <w:lang w:val="en-US" w:eastAsia="zh-CN"/>
        </w:rPr>
        <w:t>4.供应商须对采购需求全部内容进行无偏离或正偏离响应，否则为不响应或无效响应。</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服务需求</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所供产品必须符合中华人民共和国国家标准及行业标准，质量标准必须按国家现行规范执行；</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2.洗涤效果要达到院感管理制度要求，有消毒功效，防止医源性感染，能够有效去除各种污渍，不留痕迹。不添加荧光增白剂，不含致敏成分，无刺鼻气味；</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提供所需消毒洗涤用品</w:t>
      </w:r>
      <w:r>
        <w:rPr>
          <w:rFonts w:hint="eastAsia" w:ascii="宋体" w:hAnsi="宋体" w:eastAsia="宋体" w:cs="宋体"/>
          <w:color w:val="auto"/>
          <w:sz w:val="24"/>
          <w:szCs w:val="24"/>
        </w:rPr>
        <w:t>的供应</w:t>
      </w:r>
      <w:r>
        <w:rPr>
          <w:rFonts w:hint="eastAsia" w:ascii="宋体" w:hAnsi="宋体" w:eastAsia="宋体" w:cs="宋体"/>
          <w:color w:val="auto"/>
          <w:sz w:val="24"/>
          <w:szCs w:val="24"/>
          <w:lang w:eastAsia="zh-CN"/>
        </w:rPr>
        <w:t>、运输、</w:t>
      </w:r>
      <w:r>
        <w:rPr>
          <w:rFonts w:hint="eastAsia" w:ascii="宋体" w:hAnsi="宋体" w:eastAsia="宋体" w:cs="宋体"/>
          <w:color w:val="auto"/>
          <w:sz w:val="24"/>
          <w:szCs w:val="24"/>
        </w:rPr>
        <w:t>售后</w:t>
      </w:r>
      <w:r>
        <w:rPr>
          <w:rFonts w:hint="eastAsia" w:ascii="宋体" w:hAnsi="宋体" w:eastAsia="宋体" w:cs="宋体"/>
          <w:color w:val="auto"/>
          <w:sz w:val="24"/>
          <w:szCs w:val="24"/>
          <w:lang w:eastAsia="zh-CN"/>
        </w:rPr>
        <w:t>和培训等相关</w:t>
      </w:r>
      <w:r>
        <w:rPr>
          <w:rFonts w:hint="eastAsia" w:ascii="宋体" w:hAnsi="宋体" w:eastAsia="宋体" w:cs="宋体"/>
          <w:color w:val="auto"/>
          <w:sz w:val="24"/>
          <w:szCs w:val="24"/>
        </w:rPr>
        <w:t>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提供原装且符合用户质量需求的货物，保证完好、无破损、配置与送货单相符；</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hAnsi="宋体" w:cs="宋体"/>
          <w:color w:val="auto"/>
          <w:sz w:val="24"/>
          <w:szCs w:val="24"/>
          <w:lang w:val="en-US" w:eastAsia="zh-CN"/>
        </w:rPr>
        <w:t>成交供应商</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特殊污渍</w:t>
      </w:r>
      <w:r>
        <w:rPr>
          <w:rFonts w:hint="eastAsia" w:ascii="宋体" w:hAnsi="宋体" w:eastAsia="宋体" w:cs="宋体"/>
          <w:color w:val="auto"/>
          <w:sz w:val="24"/>
          <w:szCs w:val="24"/>
          <w:highlight w:val="none"/>
        </w:rPr>
        <w:t>洗涤</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并保证</w:t>
      </w:r>
      <w:r>
        <w:rPr>
          <w:rFonts w:hint="eastAsia" w:ascii="宋体" w:hAnsi="宋体" w:eastAsia="宋体" w:cs="宋体"/>
          <w:color w:val="auto"/>
          <w:sz w:val="24"/>
          <w:szCs w:val="24"/>
          <w:highlight w:val="none"/>
          <w:lang w:val="en-US" w:eastAsia="zh-CN"/>
        </w:rPr>
        <w:t>三个工作日</w:t>
      </w:r>
      <w:r>
        <w:rPr>
          <w:rFonts w:hint="eastAsia" w:ascii="宋体" w:hAnsi="宋体" w:eastAsia="宋体" w:cs="宋体"/>
          <w:color w:val="auto"/>
          <w:sz w:val="24"/>
          <w:szCs w:val="24"/>
          <w:highlight w:val="none"/>
        </w:rPr>
        <w:t>内完成</w:t>
      </w:r>
      <w:r>
        <w:rPr>
          <w:rFonts w:hint="eastAsia" w:ascii="宋体" w:hAnsi="宋体" w:eastAsia="宋体" w:cs="宋体"/>
          <w:color w:val="auto"/>
          <w:sz w:val="24"/>
          <w:szCs w:val="24"/>
          <w:highlight w:val="none"/>
          <w:lang w:eastAsia="zh-CN"/>
        </w:rPr>
        <w:t>洗涤和收送服务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lang w:val="en-US" w:eastAsia="zh-CN"/>
        </w:rPr>
        <w:t>成交供应商</w:t>
      </w:r>
      <w:r>
        <w:rPr>
          <w:rFonts w:hint="eastAsia" w:ascii="宋体" w:hAnsi="宋体" w:eastAsia="宋体" w:cs="宋体"/>
          <w:color w:val="auto"/>
          <w:sz w:val="24"/>
          <w:szCs w:val="24"/>
          <w:highlight w:val="none"/>
          <w:lang w:val="en-US" w:eastAsia="zh-CN"/>
        </w:rPr>
        <w:t>每季度一次将医院织物送至有资质的检测机构进行微生物检测，费用由供应商负责；</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hAnsi="宋体" w:cs="宋体"/>
          <w:color w:val="auto"/>
          <w:sz w:val="24"/>
          <w:szCs w:val="24"/>
          <w:lang w:val="en-US" w:eastAsia="zh-CN"/>
        </w:rPr>
        <w:t>成交供应商</w:t>
      </w:r>
      <w:r>
        <w:rPr>
          <w:rFonts w:hint="eastAsia" w:ascii="宋体" w:hAnsi="宋体" w:eastAsia="宋体" w:cs="宋体"/>
          <w:color w:val="auto"/>
          <w:sz w:val="24"/>
          <w:szCs w:val="24"/>
          <w:highlight w:val="none"/>
          <w:lang w:eastAsia="zh-CN"/>
        </w:rPr>
        <w:t>向采购人提供</w:t>
      </w:r>
      <w:r>
        <w:rPr>
          <w:rFonts w:hint="eastAsia" w:ascii="宋体" w:hAnsi="宋体" w:eastAsia="宋体" w:cs="宋体"/>
          <w:color w:val="auto"/>
          <w:sz w:val="24"/>
          <w:szCs w:val="24"/>
          <w:highlight w:val="none"/>
        </w:rPr>
        <w:t>两台</w:t>
      </w:r>
      <w:r>
        <w:rPr>
          <w:rFonts w:hint="eastAsia" w:ascii="宋体" w:hAnsi="宋体" w:eastAsia="宋体" w:cs="宋体"/>
          <w:color w:val="auto"/>
          <w:sz w:val="24"/>
          <w:szCs w:val="24"/>
          <w:highlight w:val="none"/>
          <w:lang w:eastAsia="zh-CN"/>
        </w:rPr>
        <w:t>或以上</w:t>
      </w:r>
      <w:r>
        <w:rPr>
          <w:rFonts w:hint="eastAsia" w:ascii="宋体" w:hAnsi="宋体" w:eastAsia="宋体" w:cs="宋体"/>
          <w:color w:val="auto"/>
          <w:sz w:val="24"/>
          <w:szCs w:val="24"/>
          <w:highlight w:val="none"/>
        </w:rPr>
        <w:t>洗涤剂分配器，</w:t>
      </w:r>
      <w:r>
        <w:rPr>
          <w:rFonts w:hint="eastAsia" w:ascii="宋体" w:hAnsi="宋体" w:eastAsia="宋体" w:cs="宋体"/>
          <w:color w:val="auto"/>
          <w:sz w:val="24"/>
          <w:szCs w:val="24"/>
          <w:highlight w:val="none"/>
          <w:lang w:eastAsia="zh-CN"/>
        </w:rPr>
        <w:t>可匹配采购的洗涤剂使用，</w:t>
      </w:r>
      <w:r>
        <w:rPr>
          <w:rFonts w:hint="eastAsia" w:ascii="宋体" w:hAnsi="宋体" w:eastAsia="宋体" w:cs="宋体"/>
          <w:color w:val="auto"/>
          <w:sz w:val="24"/>
          <w:szCs w:val="24"/>
          <w:highlight w:val="none"/>
        </w:rPr>
        <w:t>并做好安装、维护和售后服务。</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五、包装标准、包装物的供应与回收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1.货物所需包装由</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负责，适合运输、防潮、防湿、防震、防腐蚀等要求，因包装不当，给采购人或其他第三方造成的损失与责任均为</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提供本合同货物的包装物。包装物可由</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收回，</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不得向采购人收取包装物的任何费用，包括租赁费用、押金等。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六、交货时间、交货地点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1.交货时间：</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接采购人通知后，次日正常上班时间内（上午8：30-下午4：00）完成送货。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2.交货地点：佛山市南海区里水镇里官路得胜段28号南方医科大学第七附属医院洗衣房内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3.交接方式：双方设置登记本，清楚记录送货数量，回收桶数量，尚欠桶数量等，作为结算统计依据，检测合格报告随货同行。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2"/>
          <w:sz w:val="24"/>
          <w:szCs w:val="24"/>
          <w:lang w:val="en-US" w:eastAsia="zh-CN" w:bidi="ar"/>
        </w:rPr>
        <w:t>4.货物运送至采购人指定交货地点前或不按本条约定时间运送货物致使采购人未能及时收取货物的，在采购人收取货物前的毁损、灭失风险均由</w:t>
      </w:r>
      <w:r>
        <w:rPr>
          <w:rFonts w:hint="eastAsia" w:hAnsi="宋体" w:cs="宋体"/>
          <w:color w:val="auto"/>
          <w:kern w:val="2"/>
          <w:sz w:val="24"/>
          <w:szCs w:val="24"/>
          <w:lang w:val="en-US" w:eastAsia="zh-CN" w:bidi="ar"/>
        </w:rPr>
        <w:t>成交供应商</w:t>
      </w:r>
      <w:r>
        <w:rPr>
          <w:rFonts w:hint="eastAsia" w:ascii="宋体" w:hAnsi="宋体" w:eastAsia="宋体" w:cs="宋体"/>
          <w:color w:val="auto"/>
          <w:kern w:val="2"/>
          <w:sz w:val="24"/>
          <w:szCs w:val="24"/>
          <w:lang w:val="en-US" w:eastAsia="zh-CN" w:bidi="ar"/>
        </w:rPr>
        <w:t xml:space="preserve">承担。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七、验收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1.验收内容包括货物的质量、规格、数量、重量、外包装是否完好等。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2.采购人在货物使用过程中出现质量问题后立即以电话联系方式通知</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，并在3个工作日内以书面形式向</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提出异议；双方对怀疑质量存在问题的货物样品送有资质检测机构进行检测，检测结果为货物质量问题，检测费用与造成采购人损失的一切费用由中标人承担。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八、结算方式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1.月度结算：按实际入库合格数量计算。</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在送货次月5号前提供相关资料申请付款，采购人审核无误后【30】天内通过银行转账方式向</w:t>
      </w:r>
      <w:r>
        <w:rPr>
          <w:rFonts w:hint="eastAsia"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支付。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2.申请付款资料：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2.1有效等额发票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2.2合同（首次）</w:t>
      </w:r>
    </w:p>
    <w:p>
      <w:pPr>
        <w:keepNext w:val="0"/>
        <w:keepLines w:val="0"/>
        <w:pageBreakBefore w:val="0"/>
        <w:widowControl w:val="0"/>
        <w:numPr>
          <w:ilvl w:val="0"/>
          <w:numId w:val="0"/>
        </w:numPr>
        <w:kinsoku/>
        <w:wordWrap/>
        <w:overflowPunct/>
        <w:topLinePunct w:val="0"/>
        <w:bidi w:val="0"/>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2.3送货单</w:t>
      </w:r>
    </w:p>
    <w:p>
      <w:pPr>
        <w:keepNext w:val="0"/>
        <w:keepLines w:val="0"/>
        <w:pageBreakBefore w:val="0"/>
        <w:widowControl w:val="0"/>
        <w:numPr>
          <w:ilvl w:val="0"/>
          <w:numId w:val="0"/>
        </w:numPr>
        <w:kinsoku/>
        <w:wordWrap/>
        <w:overflowPunct/>
        <w:topLinePunct w:val="0"/>
        <w:bidi w:val="0"/>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2.4中标通知书（首次）</w:t>
      </w:r>
    </w:p>
    <w:p>
      <w:pPr>
        <w:keepNext w:val="0"/>
        <w:keepLines w:val="0"/>
        <w:pageBreakBefore w:val="0"/>
        <w:widowControl w:val="0"/>
        <w:numPr>
          <w:ilvl w:val="0"/>
          <w:numId w:val="0"/>
        </w:numPr>
        <w:kinsoku/>
        <w:wordWrap/>
        <w:overflowPunct/>
        <w:topLinePunct w:val="0"/>
        <w:bidi w:val="0"/>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2.5检测合格报告书</w:t>
      </w:r>
    </w:p>
    <w:p>
      <w:pPr>
        <w:numPr>
          <w:ilvl w:val="0"/>
          <w:numId w:val="3"/>
        </w:numPr>
        <w:autoSpaceDE/>
        <w:autoSpaceDN/>
        <w:adjustRightInd/>
        <w:spacing w:line="460" w:lineRule="exact"/>
        <w:ind w:firstLine="472" w:firstLineChars="200"/>
        <w:outlineLvl w:val="9"/>
        <w:rPr>
          <w:rFonts w:hint="eastAsia" w:hAnsi="宋体" w:cs="宋体"/>
          <w:b/>
          <w:bCs/>
          <w:color w:val="auto"/>
          <w:lang w:val="en-US" w:eastAsia="zh-CN"/>
        </w:rPr>
      </w:pPr>
      <w:r>
        <w:rPr>
          <w:rFonts w:hint="eastAsia" w:hAnsi="宋体" w:cs="宋体"/>
          <w:b/>
          <w:bCs/>
          <w:color w:val="auto"/>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未能按照合同约定时间交货到指定地点的，</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向采购人赔偿人民币【</w:t>
      </w:r>
      <w:r>
        <w:rPr>
          <w:rFonts w:hint="eastAsia"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lang w:val="en-US" w:eastAsia="zh-CN"/>
        </w:rPr>
        <w:t>累计</w:t>
      </w:r>
      <w:r>
        <w:rPr>
          <w:rFonts w:hint="eastAsia" w:hAnsi="宋体" w:cs="宋体"/>
          <w:strike w:val="0"/>
          <w:dstrike w:val="0"/>
          <w:color w:val="auto"/>
          <w:sz w:val="24"/>
          <w:szCs w:val="24"/>
          <w:highlight w:val="none"/>
          <w:lang w:val="en-US" w:eastAsia="zh-CN"/>
        </w:rPr>
        <w:t>违约</w:t>
      </w:r>
      <w:r>
        <w:rPr>
          <w:rFonts w:hint="eastAsia" w:ascii="宋体" w:hAnsi="宋体" w:eastAsia="宋体" w:cs="宋体"/>
          <w:strike w:val="0"/>
          <w:dstrike w:val="0"/>
          <w:color w:val="auto"/>
          <w:sz w:val="24"/>
          <w:szCs w:val="24"/>
          <w:highlight w:val="none"/>
          <w:lang w:val="en-US" w:eastAsia="zh-CN"/>
        </w:rPr>
        <w:t>3次</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向采购人赔偿人民币【</w:t>
      </w:r>
      <w:r>
        <w:rPr>
          <w:rFonts w:hint="eastAsia"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采购人有权单方面解除合同。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kern w:val="2"/>
          <w:sz w:val="24"/>
          <w:szCs w:val="24"/>
          <w:highlight w:val="none"/>
          <w:lang w:val="en-US" w:eastAsia="zh-CN" w:bidi="ar"/>
        </w:rPr>
        <w:t>交付货物质量未达到约定的标准或无法提供出厂质量检测合格报告或经检测机构检测货物存在质量问题的</w:t>
      </w:r>
      <w:r>
        <w:rPr>
          <w:rFonts w:hint="eastAsia" w:hAnsi="宋体" w:cs="宋体"/>
          <w:strike w:val="0"/>
          <w:dstrike w:val="0"/>
          <w:color w:val="auto"/>
          <w:kern w:val="2"/>
          <w:sz w:val="24"/>
          <w:szCs w:val="24"/>
          <w:highlight w:val="none"/>
          <w:lang w:val="en-US" w:eastAsia="zh-CN" w:bidi="ar"/>
        </w:rPr>
        <w:t>，</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向采购人赔偿人民币【</w:t>
      </w:r>
      <w:r>
        <w:rPr>
          <w:rFonts w:hint="eastAsia"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lang w:val="en-US" w:eastAsia="zh-CN"/>
        </w:rPr>
        <w:t>累计</w:t>
      </w:r>
      <w:r>
        <w:rPr>
          <w:rFonts w:hint="eastAsia" w:hAnsi="宋体" w:cs="宋体"/>
          <w:strike w:val="0"/>
          <w:dstrike w:val="0"/>
          <w:color w:val="auto"/>
          <w:sz w:val="24"/>
          <w:szCs w:val="24"/>
          <w:highlight w:val="none"/>
          <w:lang w:val="en-US" w:eastAsia="zh-CN"/>
        </w:rPr>
        <w:t>违约</w:t>
      </w:r>
      <w:r>
        <w:rPr>
          <w:rFonts w:hint="eastAsia" w:ascii="宋体" w:hAnsi="宋体" w:eastAsia="宋体" w:cs="宋体"/>
          <w:strike w:val="0"/>
          <w:dstrike w:val="0"/>
          <w:color w:val="auto"/>
          <w:sz w:val="24"/>
          <w:szCs w:val="24"/>
          <w:highlight w:val="none"/>
          <w:lang w:val="en-US" w:eastAsia="zh-CN"/>
        </w:rPr>
        <w:t>3次</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向采购人赔偿人民币【</w:t>
      </w:r>
      <w:r>
        <w:rPr>
          <w:rFonts w:hint="eastAsia"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，采购人有权单方面解除合同。</w:t>
      </w:r>
    </w:p>
    <w:p>
      <w:pPr>
        <w:pStyle w:val="3"/>
        <w:numPr>
          <w:ilvl w:val="-1"/>
          <w:numId w:val="0"/>
        </w:numPr>
        <w:ind w:firstLine="472" w:firstLineChars="200"/>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3.采购人无正当理由拒绝付款或未按合同约定时间支付结算款项的，采购人按应付未付结算款项的10%向</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strike w:val="0"/>
          <w:dstrike w:val="0"/>
          <w:color w:val="auto"/>
          <w:sz w:val="24"/>
          <w:szCs w:val="24"/>
          <w:highlight w:val="none"/>
          <w:lang w:val="en-US" w:eastAsia="zh-CN"/>
        </w:rPr>
      </w:pPr>
      <w:r>
        <w:rPr>
          <w:rFonts w:hint="eastAsia" w:ascii="宋体" w:hAnsi="宋体" w:eastAsia="宋体" w:cs="宋体"/>
          <w:b/>
          <w:bCs/>
          <w:strike w:val="0"/>
          <w:dstrike w:val="0"/>
          <w:color w:val="auto"/>
          <w:sz w:val="24"/>
          <w:szCs w:val="24"/>
          <w:highlight w:val="none"/>
          <w:lang w:val="en-US" w:eastAsia="zh-CN"/>
        </w:rPr>
        <w:t>十、安全与环境保护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甲乙双方须确保在购销、运输、存储、加工、使用等过程中，遵守质量、安全、环境与健康等法律法规的有关要求，并承担质量、安全、环境与健康责任。</w:t>
      </w:r>
      <w:r>
        <w:rPr>
          <w:rFonts w:hint="eastAsia" w:hAnsi="宋体" w:cs="宋体"/>
          <w:strike w:val="0"/>
          <w:dstrike w:val="0"/>
          <w:color w:val="auto"/>
          <w:sz w:val="24"/>
          <w:szCs w:val="24"/>
          <w:highlight w:val="none"/>
          <w:lang w:val="en-US" w:eastAsia="zh-CN"/>
        </w:rPr>
        <w:t>成交供应商</w:t>
      </w:r>
      <w:r>
        <w:rPr>
          <w:rFonts w:hint="eastAsia" w:ascii="宋体" w:hAnsi="宋体" w:eastAsia="宋体" w:cs="宋体"/>
          <w:strike w:val="0"/>
          <w:dstrike w:val="0"/>
          <w:color w:val="auto"/>
          <w:sz w:val="24"/>
          <w:szCs w:val="24"/>
          <w:highlight w:val="none"/>
          <w:lang w:val="en-US" w:eastAsia="zh-CN"/>
        </w:rPr>
        <w:t>销售、运输等过程中，应满足化学品运输管理规定。</w:t>
      </w:r>
    </w:p>
    <w:p>
      <w:pPr>
        <w:rPr>
          <w:rFonts w:hint="eastAsia"/>
          <w:color w:val="auto"/>
          <w:lang w:val="en-US" w:eastAsia="zh-CN"/>
        </w:rPr>
      </w:pPr>
    </w:p>
    <w:p>
      <w:pPr>
        <w:kinsoku/>
        <w:overflowPunct/>
        <w:topLinePunct w:val="0"/>
        <w:bidi w:val="0"/>
        <w:outlineLvl w:val="9"/>
        <w:rPr>
          <w:rFonts w:hint="eastAsia" w:hAnsi="宋体"/>
          <w:b/>
          <w:bCs/>
          <w:color w:val="auto"/>
          <w:kern w:val="44"/>
          <w:sz w:val="32"/>
          <w:szCs w:val="32"/>
          <w:lang w:val="zh-CN"/>
        </w:rPr>
      </w:pPr>
      <w:r>
        <w:rPr>
          <w:rFonts w:hint="eastAsia" w:hAnsi="宋体"/>
          <w:b/>
          <w:bCs/>
          <w:color w:val="auto"/>
          <w:kern w:val="44"/>
          <w:sz w:val="32"/>
          <w:szCs w:val="32"/>
          <w:lang w:val="zh-CN"/>
        </w:rPr>
        <w:br w:type="page"/>
      </w:r>
    </w:p>
    <w:p>
      <w:pPr>
        <w:pStyle w:val="3"/>
        <w:rPr>
          <w:rFonts w:hint="eastAsia"/>
          <w:color w:val="auto"/>
          <w:lang w:val="zh-CN"/>
        </w:rPr>
      </w:pPr>
    </w:p>
    <w:p>
      <w:pPr>
        <w:keepNext w:val="0"/>
        <w:keepLines w:val="0"/>
        <w:pageBreakBefore w:val="0"/>
        <w:widowControl w:val="0"/>
        <w:kinsoku/>
        <w:wordWrap/>
        <w:overflowPunct/>
        <w:topLinePunct w:val="0"/>
        <w:autoSpaceDE w:val="0"/>
        <w:autoSpaceDN w:val="0"/>
        <w:bidi w:val="0"/>
        <w:adjustRightInd w:val="0"/>
        <w:snapToGrid/>
        <w:jc w:val="center"/>
        <w:textAlignment w:val="auto"/>
        <w:outlineLvl w:val="0"/>
        <w:rPr>
          <w:rFonts w:hint="eastAsia" w:hAnsi="宋体"/>
          <w:b/>
          <w:bCs/>
          <w:color w:val="auto"/>
          <w:kern w:val="44"/>
          <w:sz w:val="32"/>
          <w:szCs w:val="32"/>
          <w:lang w:val="zh-CN"/>
        </w:rPr>
      </w:pPr>
      <w:bookmarkStart w:id="42" w:name="_Toc24046"/>
      <w:r>
        <w:rPr>
          <w:rFonts w:hint="eastAsia" w:ascii="宋体" w:hAnsi="宋体" w:eastAsia="宋体" w:cs="Times New Roman"/>
          <w:b/>
          <w:bCs/>
          <w:color w:val="auto"/>
          <w:kern w:val="44"/>
          <w:sz w:val="32"/>
          <w:szCs w:val="32"/>
          <w:lang w:val="zh-CN"/>
        </w:rPr>
        <w:t xml:space="preserve">第四篇  </w:t>
      </w:r>
      <w:r>
        <w:rPr>
          <w:rFonts w:hint="eastAsia" w:hAnsi="宋体" w:cs="Times New Roman"/>
          <w:b/>
          <w:bCs/>
          <w:color w:val="auto"/>
          <w:kern w:val="44"/>
          <w:sz w:val="32"/>
          <w:szCs w:val="32"/>
          <w:lang w:val="zh-CN"/>
        </w:rPr>
        <w:t>评审工作大纲</w:t>
      </w:r>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一、评审要求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1.评审方法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本项目采用最低价评审价法，是指响应文件满足谈判文件全部实质性要求，且谈判报价最低的供应商为成交候选人的评审方法。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2.评审原则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（1）评审活动遵循公平、公正、科学和择优的原则，以谈判文件和响应文件为评审的基本依据，并按照谈判文件规定的评审方法和评审标准进行评审。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体评审事项由谈判小组负责，并按谈判文件的规定办法进行评审。对谈判文件中描述有歧义或前后不一致的地方，谈判小组有权按法律法规的规定进行评判，但对同一条款的评判应适用于每个响应供应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二、评审程序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1.资格性审查和符合性审查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小组根据《资格性审查表》（附表一）和《符合性审查表》（附表二）的内容逐条对响应文件进行评审，审查每份响应文件的相关资格证明文件是否齐全有效。审查每份响应文件是否实质上响应了谈判文件的要求，只要不满足《资格性审查表》和《符合性审查表》所列各项要求之一的，将被认定为无效响应。对响应有效性认定意见不一致的，谈判小组按少数服从多数原则表决决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谈判小组对各</w:t>
      </w:r>
      <w:r>
        <w:rPr>
          <w:rFonts w:hint="eastAsia" w:hAnsi="宋体" w:cs="宋体"/>
          <w:color w:val="auto"/>
          <w:sz w:val="24"/>
          <w:szCs w:val="24"/>
          <w:lang w:val="en-US" w:eastAsia="zh-CN"/>
        </w:rPr>
        <w:t>响应供应商</w:t>
      </w:r>
      <w:r>
        <w:rPr>
          <w:rFonts w:hint="eastAsia" w:ascii="宋体" w:hAnsi="宋体" w:eastAsia="宋体" w:cs="宋体"/>
          <w:color w:val="auto"/>
          <w:sz w:val="24"/>
          <w:szCs w:val="24"/>
          <w:lang w:val="en-US" w:eastAsia="zh-CN"/>
        </w:rPr>
        <w:t>进行资格性和符合性审查过程中，对初步被认定为初审不合格或无效报价者应实行及时告知，由谈判小组组长或采购人代表将集体意见及时告知报价当事人。</w:t>
      </w:r>
    </w:p>
    <w:p>
      <w:pPr>
        <w:numPr>
          <w:ilvl w:val="0"/>
          <w:numId w:val="0"/>
        </w:numPr>
        <w:autoSpaceDE/>
        <w:autoSpaceDN/>
        <w:adjustRightInd/>
        <w:spacing w:line="460" w:lineRule="exact"/>
        <w:ind w:firstLine="472" w:firstLineChars="200"/>
        <w:contextualSpacing w:val="0"/>
        <w:outlineLvl w:val="9"/>
        <w:rPr>
          <w:rFonts w:hint="eastAsia" w:hAnsi="宋体" w:cs="宋体"/>
          <w:color w:val="FF0000"/>
        </w:rPr>
      </w:pPr>
      <w:r>
        <w:rPr>
          <w:rFonts w:hint="eastAsia" w:hAnsi="宋体" w:cs="宋体"/>
          <w:color w:val="FF0000"/>
        </w:rPr>
        <w:t>经</w:t>
      </w:r>
      <w:r>
        <w:rPr>
          <w:rFonts w:hint="eastAsia" w:hAnsi="宋体" w:cs="宋体"/>
          <w:color w:val="FF0000"/>
          <w:lang w:eastAsia="zh-CN"/>
        </w:rPr>
        <w:t>谈判</w:t>
      </w:r>
      <w:r>
        <w:rPr>
          <w:rFonts w:hint="eastAsia" w:hAnsi="宋体" w:cs="宋体"/>
          <w:color w:val="FF0000"/>
        </w:rPr>
        <w:t>小组确认具有有效响应文件的供应商不足3家时，本项目继续进行。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2.响应文件澄清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（1）对于响应</w:t>
      </w:r>
      <w:r>
        <w:rPr>
          <w:rFonts w:hint="eastAsia" w:hAnsi="宋体" w:cs="宋体"/>
          <w:color w:val="auto"/>
          <w:sz w:val="24"/>
          <w:szCs w:val="24"/>
          <w:lang w:val="en-US" w:eastAsia="zh-CN"/>
        </w:rPr>
        <w:t>响应文件</w:t>
      </w:r>
      <w:r>
        <w:rPr>
          <w:rFonts w:hint="eastAsia" w:ascii="宋体" w:hAnsi="宋体" w:eastAsia="宋体" w:cs="宋体"/>
          <w:color w:val="auto"/>
          <w:sz w:val="24"/>
          <w:szCs w:val="24"/>
          <w:lang w:val="en-US" w:eastAsia="zh-CN"/>
        </w:rPr>
        <w:t>中含义不明确、同类问题表述不一致或者有明显文字和计算错误的内容，谈判小组可在评审过程中要求</w:t>
      </w:r>
      <w:r>
        <w:rPr>
          <w:rFonts w:hint="eastAsia" w:hAnsi="宋体" w:cs="宋体"/>
          <w:color w:val="auto"/>
          <w:sz w:val="24"/>
          <w:szCs w:val="24"/>
          <w:lang w:val="en-US" w:eastAsia="zh-CN"/>
        </w:rPr>
        <w:t>响应供应商</w:t>
      </w:r>
      <w:r>
        <w:rPr>
          <w:rFonts w:hint="eastAsia" w:ascii="宋体" w:hAnsi="宋体" w:eastAsia="宋体" w:cs="宋体"/>
          <w:color w:val="auto"/>
          <w:sz w:val="24"/>
          <w:szCs w:val="24"/>
          <w:lang w:val="en-US" w:eastAsia="zh-CN"/>
        </w:rPr>
        <w:t>针对价格或内容做出必要的澄清、说明或补正。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hAnsi="宋体" w:cs="宋体"/>
          <w:color w:val="auto"/>
          <w:lang w:val="zh-CN" w:eastAsia="zh-CN"/>
        </w:rPr>
        <w:t>响应供应商</w:t>
      </w:r>
      <w:r>
        <w:rPr>
          <w:rFonts w:hint="eastAsia" w:ascii="宋体" w:hAnsi="宋体" w:eastAsia="宋体" w:cs="宋体"/>
          <w:color w:val="auto"/>
          <w:lang w:val="zh-CN" w:eastAsia="zh-CN"/>
        </w:rPr>
        <w:t>应以书面形式进行澄清、说明或补正</w:t>
      </w:r>
      <w:r>
        <w:rPr>
          <w:rFonts w:hint="eastAsia" w:hAnsi="宋体" w:cs="宋体"/>
          <w:color w:val="auto"/>
          <w:lang w:val="zh-CN" w:eastAsia="zh-CN"/>
        </w:rPr>
        <w:t>。</w:t>
      </w:r>
      <w:r>
        <w:rPr>
          <w:rFonts w:hint="eastAsia" w:ascii="宋体" w:hAnsi="宋体" w:eastAsia="宋体" w:cs="宋体"/>
          <w:color w:val="auto"/>
          <w:lang w:val="zh-CN" w:eastAsia="zh-CN"/>
        </w:rPr>
        <w:t>澄清、说明或补正的内容属于</w:t>
      </w:r>
      <w:r>
        <w:rPr>
          <w:rFonts w:hint="eastAsia" w:hAnsi="宋体" w:cs="宋体"/>
          <w:color w:val="auto"/>
          <w:lang w:val="zh-CN" w:eastAsia="zh-CN"/>
        </w:rPr>
        <w:t>响应文件</w:t>
      </w:r>
      <w:r>
        <w:rPr>
          <w:rFonts w:hint="eastAsia" w:ascii="宋体" w:hAnsi="宋体" w:eastAsia="宋体" w:cs="宋体"/>
          <w:color w:val="auto"/>
          <w:lang w:val="zh-CN" w:eastAsia="zh-CN"/>
        </w:rPr>
        <w:t>的组成部分，澄清中的承诺性意思表示在</w:t>
      </w:r>
      <w:r>
        <w:rPr>
          <w:rFonts w:hint="eastAsia" w:hAnsi="宋体" w:cs="宋体"/>
          <w:color w:val="auto"/>
          <w:lang w:val="zh-CN" w:eastAsia="zh-CN"/>
        </w:rPr>
        <w:t>响应文件</w:t>
      </w:r>
      <w:r>
        <w:rPr>
          <w:rFonts w:hint="eastAsia" w:ascii="宋体" w:hAnsi="宋体" w:eastAsia="宋体" w:cs="宋体"/>
          <w:color w:val="auto"/>
          <w:lang w:val="zh-CN" w:eastAsia="zh-CN"/>
        </w:rPr>
        <w:t>有效期内均对</w:t>
      </w:r>
      <w:r>
        <w:rPr>
          <w:rFonts w:hint="eastAsia" w:hAnsi="宋体" w:cs="宋体"/>
          <w:color w:val="auto"/>
          <w:lang w:val="zh-CN" w:eastAsia="zh-CN"/>
        </w:rPr>
        <w:t>响应供应商</w:t>
      </w:r>
      <w:r>
        <w:rPr>
          <w:rFonts w:hint="eastAsia" w:ascii="宋体" w:hAnsi="宋体" w:eastAsia="宋体" w:cs="宋体"/>
          <w:color w:val="auto"/>
          <w:lang w:val="zh-CN" w:eastAsia="zh-CN"/>
        </w:rPr>
        <w:t>有约束力。除谈判小组对评审中发现算术错误进行修正后要求</w:t>
      </w:r>
      <w:r>
        <w:rPr>
          <w:rFonts w:hint="eastAsia" w:hAnsi="宋体" w:cs="宋体"/>
          <w:color w:val="auto"/>
          <w:lang w:val="zh-CN" w:eastAsia="zh-CN"/>
        </w:rPr>
        <w:t>响应供应商</w:t>
      </w:r>
      <w:r>
        <w:rPr>
          <w:rFonts w:hint="eastAsia" w:ascii="宋体" w:hAnsi="宋体" w:eastAsia="宋体" w:cs="宋体"/>
          <w:color w:val="auto"/>
          <w:lang w:val="zh-CN" w:eastAsia="zh-CN"/>
        </w:rPr>
        <w:t>以澄清形式进行的核实和确认外，澄清不得超出</w:t>
      </w:r>
      <w:r>
        <w:rPr>
          <w:rFonts w:hint="eastAsia" w:hAnsi="宋体" w:cs="宋体"/>
          <w:color w:val="auto"/>
          <w:lang w:val="zh-CN" w:eastAsia="zh-CN"/>
        </w:rPr>
        <w:t>响应文件</w:t>
      </w:r>
      <w:r>
        <w:rPr>
          <w:rFonts w:hint="eastAsia" w:ascii="宋体" w:hAnsi="宋体" w:eastAsia="宋体" w:cs="宋体"/>
          <w:color w:val="auto"/>
          <w:lang w:val="zh-CN" w:eastAsia="zh-CN"/>
        </w:rPr>
        <w:t>的范围或改变</w:t>
      </w:r>
      <w:r>
        <w:rPr>
          <w:rFonts w:hint="eastAsia" w:hAnsi="宋体" w:cs="宋体"/>
          <w:color w:val="auto"/>
          <w:lang w:val="zh-CN" w:eastAsia="zh-CN"/>
        </w:rPr>
        <w:t>响应文件</w:t>
      </w:r>
      <w:r>
        <w:rPr>
          <w:rFonts w:hint="eastAsia" w:ascii="宋体" w:hAnsi="宋体" w:eastAsia="宋体" w:cs="宋体"/>
          <w:color w:val="auto"/>
          <w:lang w:val="zh-CN" w:eastAsia="zh-CN"/>
        </w:rPr>
        <w:t>的实质性内容</w:t>
      </w:r>
      <w:r>
        <w:rPr>
          <w:rFonts w:hint="eastAsia" w:hAnsi="宋体" w:cs="宋体"/>
          <w:color w:val="auto"/>
          <w:lang w:val="zh-CN" w:eastAsia="zh-CN"/>
        </w:rPr>
        <w:t>。</w:t>
      </w:r>
      <w:r>
        <w:rPr>
          <w:rFonts w:hint="eastAsia" w:ascii="宋体" w:hAnsi="宋体" w:eastAsia="宋体" w:cs="宋体"/>
          <w:color w:val="auto"/>
          <w:lang w:val="zh-CN" w:eastAsia="zh-CN"/>
        </w:rPr>
        <w:t>超出部分不作为谈判小组评审的依据。除上述规定的情形之外，谈判小组在评审过程中，不得接收来自评审现场以外的任何形式的文件资料。除谈判小组主动要求澄清、说明或者纠正外，评审定标期间，任何</w:t>
      </w:r>
      <w:r>
        <w:rPr>
          <w:rFonts w:hint="eastAsia" w:hAnsi="宋体" w:cs="宋体"/>
          <w:color w:val="auto"/>
          <w:lang w:val="zh-CN" w:eastAsia="zh-CN"/>
        </w:rPr>
        <w:t>响应供应商</w:t>
      </w:r>
      <w:r>
        <w:rPr>
          <w:rFonts w:hint="eastAsia" w:ascii="宋体" w:hAnsi="宋体" w:eastAsia="宋体" w:cs="宋体"/>
          <w:color w:val="auto"/>
          <w:lang w:val="zh-CN" w:eastAsia="zh-CN"/>
        </w:rPr>
        <w:t>均不得就与其报价相关的任何问题与谈判小组联系。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hAnsi="宋体" w:cs="宋体"/>
          <w:color w:val="auto"/>
          <w:sz w:val="24"/>
          <w:szCs w:val="24"/>
          <w:lang w:val="en-US" w:eastAsia="zh-CN"/>
        </w:rPr>
        <w:t>3</w:t>
      </w:r>
      <w:r>
        <w:rPr>
          <w:rFonts w:hint="eastAsia" w:ascii="宋体" w:hAnsi="宋体" w:eastAsia="宋体" w:cs="宋体"/>
          <w:color w:val="auto"/>
          <w:sz w:val="24"/>
          <w:szCs w:val="24"/>
          <w:lang w:val="en-US" w:eastAsia="zh-CN"/>
        </w:rPr>
        <w:t>）谈判小组不接受供应商主动提出的澄清、说明或补正。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hAnsi="宋体" w:cs="宋体"/>
          <w:color w:val="auto"/>
          <w:sz w:val="24"/>
          <w:szCs w:val="24"/>
          <w:lang w:val="en-US" w:eastAsia="zh-CN"/>
        </w:rPr>
        <w:t>4</w:t>
      </w:r>
      <w:r>
        <w:rPr>
          <w:rFonts w:hint="eastAsia" w:ascii="宋体" w:hAnsi="宋体" w:eastAsia="宋体" w:cs="宋体"/>
          <w:color w:val="auto"/>
          <w:sz w:val="24"/>
          <w:szCs w:val="24"/>
          <w:lang w:val="en-US" w:eastAsia="zh-CN"/>
        </w:rPr>
        <w:t>）谈判小组对供应商提交的澄清、说明或补正有疑问的，可以要求供应商进一步澄清、说明或补正。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hAnsi="宋体" w:cs="宋体"/>
          <w:color w:val="auto"/>
          <w:lang w:val="en-US" w:eastAsia="zh-CN"/>
        </w:rPr>
        <w:t>5</w:t>
      </w:r>
      <w:r>
        <w:rPr>
          <w:rFonts w:hint="eastAsia" w:ascii="宋体" w:hAnsi="宋体" w:eastAsia="宋体" w:cs="宋体"/>
          <w:color w:val="auto"/>
          <w:lang w:val="zh-CN" w:eastAsia="zh-CN"/>
        </w:rPr>
        <w:t>）谈判小组成员均应当阅读</w:t>
      </w:r>
      <w:r>
        <w:rPr>
          <w:rFonts w:hint="eastAsia" w:hAnsi="宋体" w:cs="宋体"/>
          <w:color w:val="auto"/>
          <w:lang w:val="zh-CN" w:eastAsia="zh-CN"/>
        </w:rPr>
        <w:t>响应供应商</w:t>
      </w:r>
      <w:r>
        <w:rPr>
          <w:rFonts w:hint="eastAsia" w:ascii="宋体" w:hAnsi="宋体" w:eastAsia="宋体" w:cs="宋体"/>
          <w:color w:val="auto"/>
          <w:lang w:val="zh-CN" w:eastAsia="zh-CN"/>
        </w:rPr>
        <w:t>的澄清，但应独立参考澄清对</w:t>
      </w:r>
      <w:r>
        <w:rPr>
          <w:rFonts w:hint="eastAsia" w:hAnsi="宋体" w:cs="宋体"/>
          <w:color w:val="auto"/>
          <w:lang w:val="zh-CN" w:eastAsia="zh-CN"/>
        </w:rPr>
        <w:t>响应文件</w:t>
      </w:r>
      <w:r>
        <w:rPr>
          <w:rFonts w:hint="eastAsia" w:ascii="宋体" w:hAnsi="宋体" w:eastAsia="宋体" w:cs="宋体"/>
          <w:color w:val="auto"/>
          <w:lang w:val="zh-CN" w:eastAsia="zh-CN"/>
        </w:rPr>
        <w:t>进行评审。整个澄清的过程不得存在排斥潜在</w:t>
      </w:r>
      <w:r>
        <w:rPr>
          <w:rFonts w:hint="eastAsia" w:hAnsi="宋体" w:cs="宋体"/>
          <w:color w:val="auto"/>
          <w:lang w:val="zh-CN" w:eastAsia="zh-CN"/>
        </w:rPr>
        <w:t>响应供应商</w:t>
      </w:r>
      <w:r>
        <w:rPr>
          <w:rFonts w:hint="eastAsia" w:ascii="宋体" w:hAnsi="宋体" w:eastAsia="宋体" w:cs="宋体"/>
          <w:color w:val="auto"/>
          <w:lang w:val="zh-CN" w:eastAsia="zh-CN"/>
        </w:rPr>
        <w:t>的现象。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hAnsi="宋体" w:cs="宋体"/>
          <w:color w:val="auto"/>
          <w:lang w:val="en-US" w:eastAsia="zh-CN"/>
        </w:rPr>
        <w:t>6</w:t>
      </w:r>
      <w:r>
        <w:rPr>
          <w:rFonts w:hint="eastAsia" w:ascii="宋体" w:hAnsi="宋体" w:eastAsia="宋体" w:cs="宋体"/>
          <w:color w:val="auto"/>
          <w:lang w:val="zh-CN" w:eastAsia="zh-CN"/>
        </w:rPr>
        <w:t>）如果</w:t>
      </w:r>
      <w:r>
        <w:rPr>
          <w:rFonts w:hint="eastAsia" w:hAnsi="宋体" w:cs="宋体"/>
          <w:color w:val="auto"/>
          <w:lang w:val="zh-CN" w:eastAsia="zh-CN"/>
        </w:rPr>
        <w:t>响应文件</w:t>
      </w:r>
      <w:r>
        <w:rPr>
          <w:rFonts w:hint="eastAsia" w:ascii="宋体" w:hAnsi="宋体" w:eastAsia="宋体" w:cs="宋体"/>
          <w:color w:val="auto"/>
          <w:lang w:val="zh-CN" w:eastAsia="zh-CN"/>
        </w:rPr>
        <w:t>实质上不响应谈判文件的各项要求，谈判小组将按照符合性审查标准予以拒绝，不接受</w:t>
      </w:r>
      <w:r>
        <w:rPr>
          <w:rFonts w:hint="eastAsia" w:hAnsi="宋体" w:cs="宋体"/>
          <w:color w:val="auto"/>
          <w:lang w:val="zh-CN" w:eastAsia="zh-CN"/>
        </w:rPr>
        <w:t>响应供应商</w:t>
      </w:r>
      <w:r>
        <w:rPr>
          <w:rFonts w:hint="eastAsia" w:ascii="宋体" w:hAnsi="宋体" w:eastAsia="宋体" w:cs="宋体"/>
          <w:color w:val="auto"/>
          <w:lang w:val="zh-CN" w:eastAsia="zh-CN"/>
        </w:rPr>
        <w:t>通过修改或撤销其不符合要求的差异或保留，使之成为具有响应性的报价。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3.谈判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（1）谈判小组所有成员应当集中与单一供应商分别进行谈判，并给予所有参加谈判的供应商平等的谈判机会。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（2）在谈判过程中，谈判小组可以根据谈判文件和谈判情况实质性变动采购需求中的技术、服务要求以及合同草案条款，但不得变动谈判文件中的其他内容。实质性变动的内容，须经采购人代表确认。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（3）对谈判文件作出的实质性变动是谈判文件的有效组成部分，谈判小组应当及时、同时通知所有参加谈判的供应商。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hAnsi="宋体" w:cs="宋体"/>
          <w:color w:val="auto"/>
          <w:lang w:val="en-US" w:eastAsia="zh-CN"/>
        </w:rPr>
        <w:t>4</w:t>
      </w:r>
      <w:r>
        <w:rPr>
          <w:rFonts w:hint="eastAsia" w:ascii="宋体" w:hAnsi="宋体" w:eastAsia="宋体" w:cs="宋体"/>
          <w:color w:val="auto"/>
          <w:lang w:val="zh-CN" w:eastAsia="zh-CN"/>
        </w:rPr>
        <w:t>）未能通过初审的</w:t>
      </w:r>
      <w:r>
        <w:rPr>
          <w:rFonts w:hint="eastAsia" w:hAnsi="宋体" w:cs="宋体"/>
          <w:color w:val="auto"/>
          <w:lang w:val="zh-CN" w:eastAsia="zh-CN"/>
        </w:rPr>
        <w:t>响应文件</w:t>
      </w:r>
      <w:r>
        <w:rPr>
          <w:rFonts w:hint="eastAsia" w:ascii="宋体" w:hAnsi="宋体" w:eastAsia="宋体" w:cs="宋体"/>
          <w:color w:val="auto"/>
          <w:lang w:val="zh-CN" w:eastAsia="zh-CN"/>
        </w:rPr>
        <w:t>为无效</w:t>
      </w:r>
      <w:r>
        <w:rPr>
          <w:rFonts w:hint="eastAsia" w:hAnsi="宋体" w:cs="宋体"/>
          <w:color w:val="auto"/>
          <w:lang w:val="zh-CN" w:eastAsia="zh-CN"/>
        </w:rPr>
        <w:t>响应文件</w:t>
      </w:r>
      <w:r>
        <w:rPr>
          <w:rFonts w:hint="eastAsia" w:ascii="宋体" w:hAnsi="宋体" w:eastAsia="宋体" w:cs="宋体"/>
          <w:color w:val="auto"/>
          <w:lang w:val="zh-CN" w:eastAsia="zh-CN"/>
        </w:rPr>
        <w:t>，该供应商不能进行谈判和最终报价。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hAnsi="宋体" w:cs="宋体"/>
          <w:color w:val="auto"/>
          <w:lang w:val="en-US" w:eastAsia="zh-CN"/>
        </w:rPr>
        <w:t>5</w:t>
      </w:r>
      <w:r>
        <w:rPr>
          <w:rFonts w:hint="eastAsia" w:ascii="宋体" w:hAnsi="宋体" w:eastAsia="宋体" w:cs="宋体"/>
          <w:color w:val="auto"/>
          <w:lang w:val="zh-CN" w:eastAsia="zh-CN"/>
        </w:rPr>
        <w:t>）本次采购采用一轮或多轮次谈判形式。谈判时，谈判小组与</w:t>
      </w:r>
      <w:r>
        <w:rPr>
          <w:rFonts w:hint="eastAsia" w:hAnsi="宋体" w:cs="宋体"/>
          <w:color w:val="auto"/>
          <w:lang w:val="zh-CN" w:eastAsia="zh-CN"/>
        </w:rPr>
        <w:t>响应供应商</w:t>
      </w:r>
      <w:r>
        <w:rPr>
          <w:rFonts w:hint="eastAsia" w:ascii="宋体" w:hAnsi="宋体" w:eastAsia="宋体" w:cs="宋体"/>
          <w:color w:val="auto"/>
          <w:lang w:val="zh-CN" w:eastAsia="zh-CN"/>
        </w:rPr>
        <w:t>应围绕技术、商务、合同条款等内容分别进行一轮或多轮的谈判。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hAnsi="宋体" w:cs="宋体"/>
          <w:color w:val="auto"/>
          <w:lang w:val="en-US" w:eastAsia="zh-CN"/>
        </w:rPr>
        <w:t>6</w:t>
      </w:r>
      <w:r>
        <w:rPr>
          <w:rFonts w:hint="eastAsia" w:ascii="宋体" w:hAnsi="宋体" w:eastAsia="宋体" w:cs="宋体"/>
          <w:color w:val="auto"/>
          <w:lang w:val="zh-CN" w:eastAsia="zh-CN"/>
        </w:rPr>
        <w:t>）在谈判过程中对谈判文件未能实质响应的供应商不足三家时，谈判小组可以从其他符合相应资格条件的供应商名单中，随机选择补充；补充后仍不足三家或者没有可供补充的合格供应商的，经同级政府采购监督管理部门审核同意，采购人可以按照符合采购需求、质量和货物（或服务）且报价最低的原则从已选出的候选供应商中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hAnsi="宋体" w:cs="宋体"/>
          <w:color w:val="auto"/>
          <w:sz w:val="24"/>
          <w:szCs w:val="24"/>
          <w:lang w:val="en-US" w:eastAsia="zh-CN"/>
        </w:rPr>
        <w:t>7</w:t>
      </w:r>
      <w:r>
        <w:rPr>
          <w:rFonts w:hint="eastAsia" w:ascii="宋体" w:hAnsi="宋体" w:eastAsia="宋体" w:cs="宋体"/>
          <w:color w:val="auto"/>
          <w:sz w:val="24"/>
          <w:szCs w:val="24"/>
          <w:lang w:val="en-US" w:eastAsia="zh-CN"/>
        </w:rPr>
        <w:t>）供应商应当按照谈判文件的变动情况和谈判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4.最后报价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hAnsi="宋体" w:cs="宋体"/>
          <w:color w:val="auto"/>
          <w:lang w:val="zh-CN" w:eastAsia="zh-CN"/>
        </w:rPr>
      </w:pPr>
      <w:r>
        <w:rPr>
          <w:rFonts w:hint="eastAsia" w:hAnsi="宋体" w:cs="宋体"/>
          <w:color w:val="auto"/>
          <w:sz w:val="24"/>
          <w:szCs w:val="24"/>
          <w:lang w:val="en-US" w:eastAsia="zh-CN"/>
        </w:rPr>
        <w:t>（1）</w:t>
      </w:r>
      <w:r>
        <w:rPr>
          <w:rFonts w:hint="eastAsia" w:ascii="宋体" w:hAnsi="宋体" w:eastAsia="宋体" w:cs="宋体"/>
          <w:color w:val="auto"/>
          <w:sz w:val="24"/>
          <w:szCs w:val="24"/>
          <w:lang w:val="en-US" w:eastAsia="zh-CN"/>
        </w:rPr>
        <w:t>谈判结束后，谈判小组应当要求所有实质性响应的供应商在规定时间内提交最后报价。</w:t>
      </w:r>
      <w:r>
        <w:rPr>
          <w:rFonts w:hint="eastAsia" w:ascii="宋体" w:hAnsi="宋体" w:eastAsia="宋体" w:cs="宋体"/>
          <w:color w:val="auto"/>
          <w:lang w:val="zh-CN" w:eastAsia="zh-CN"/>
        </w:rPr>
        <w:t>一般情况最终报价不能高于其上一次报价</w:t>
      </w:r>
      <w:r>
        <w:rPr>
          <w:rFonts w:hint="eastAsia" w:hAnsi="宋体" w:cs="宋体"/>
          <w:color w:val="auto"/>
          <w:lang w:val="zh-CN" w:eastAsia="zh-CN"/>
        </w:rPr>
        <w:t>。</w:t>
      </w:r>
      <w:r>
        <w:rPr>
          <w:rFonts w:hint="eastAsia" w:ascii="宋体" w:hAnsi="宋体" w:eastAsia="宋体" w:cs="宋体"/>
          <w:color w:val="auto"/>
          <w:lang w:val="zh-CN" w:eastAsia="zh-CN"/>
        </w:rPr>
        <w:t>最终价格明显低于成本价或高于同业同期市场平均价的情形时，有效</w:t>
      </w:r>
      <w:r>
        <w:rPr>
          <w:rFonts w:hint="eastAsia" w:hAnsi="宋体" w:cs="宋体"/>
          <w:color w:val="auto"/>
          <w:lang w:val="zh-CN" w:eastAsia="zh-CN"/>
        </w:rPr>
        <w:t>响应供应商</w:t>
      </w:r>
      <w:r>
        <w:rPr>
          <w:rFonts w:hint="eastAsia" w:ascii="宋体" w:hAnsi="宋体" w:eastAsia="宋体" w:cs="宋体"/>
          <w:color w:val="auto"/>
          <w:lang w:val="zh-CN" w:eastAsia="zh-CN"/>
        </w:rPr>
        <w:t>必须说明原因。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（2）</w:t>
      </w:r>
      <w:r>
        <w:rPr>
          <w:rFonts w:hint="eastAsia" w:hAnsi="宋体" w:cs="宋体"/>
          <w:color w:val="auto"/>
          <w:lang w:val="zh-CN" w:eastAsia="zh-CN"/>
        </w:rPr>
        <w:t>响应供应商</w:t>
      </w:r>
      <w:r>
        <w:rPr>
          <w:rFonts w:hint="eastAsia" w:ascii="宋体" w:hAnsi="宋体" w:eastAsia="宋体" w:cs="宋体"/>
          <w:color w:val="auto"/>
          <w:lang w:val="zh-CN" w:eastAsia="zh-CN"/>
        </w:rPr>
        <w:t>最终报价作为成交供应商成交金额的依据，</w:t>
      </w:r>
      <w:r>
        <w:rPr>
          <w:rFonts w:hint="eastAsia" w:ascii="宋体" w:hAnsi="宋体" w:eastAsia="宋体" w:cs="宋体"/>
          <w:color w:val="auto"/>
          <w:sz w:val="24"/>
          <w:szCs w:val="24"/>
          <w:lang w:val="en-US" w:eastAsia="zh-CN"/>
        </w:rPr>
        <w:t>最后报价是供应商响应文件的有效组成部分。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（3）</w:t>
      </w:r>
      <w:r>
        <w:rPr>
          <w:rFonts w:hint="eastAsia" w:ascii="宋体" w:hAnsi="宋体" w:eastAsia="宋体" w:cs="宋体"/>
          <w:color w:val="auto"/>
          <w:sz w:val="24"/>
          <w:szCs w:val="24"/>
          <w:lang w:val="en-US" w:eastAsia="zh-CN"/>
        </w:rPr>
        <w:t>已提交响应文件的供应商，在提交最后报价之前，可以根据谈判情况退出谈判。</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hAnsi="宋体" w:cs="宋体"/>
          <w:color w:val="auto"/>
          <w:lang w:val="en-US" w:eastAsia="zh-CN"/>
        </w:rPr>
        <w:t>5</w:t>
      </w:r>
      <w:r>
        <w:rPr>
          <w:rFonts w:hint="eastAsia" w:ascii="宋体" w:hAnsi="宋体" w:eastAsia="宋体" w:cs="宋体"/>
          <w:color w:val="auto"/>
          <w:lang w:val="en-US" w:eastAsia="zh-CN"/>
        </w:rPr>
        <w:t>.</w:t>
      </w:r>
      <w:r>
        <w:rPr>
          <w:rFonts w:hint="eastAsia" w:ascii="宋体" w:hAnsi="宋体" w:eastAsia="宋体" w:cs="宋体"/>
          <w:color w:val="auto"/>
          <w:lang w:val="zh-CN" w:eastAsia="zh-CN"/>
        </w:rPr>
        <w:t>综合评议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1</w:t>
      </w:r>
      <w:r>
        <w:rPr>
          <w:rFonts w:hint="eastAsia" w:ascii="宋体" w:hAnsi="宋体" w:eastAsia="宋体" w:cs="宋体"/>
          <w:color w:val="auto"/>
          <w:lang w:val="zh-CN" w:eastAsia="zh-CN"/>
        </w:rPr>
        <w:t>）谈判小组进行综合评议。对提供产品质量、货物（或服务）均能满足谈判文件规定最低要求的</w:t>
      </w:r>
      <w:r>
        <w:rPr>
          <w:rFonts w:hint="eastAsia" w:hAnsi="宋体" w:cs="宋体"/>
          <w:color w:val="auto"/>
          <w:lang w:val="zh-CN" w:eastAsia="zh-CN"/>
        </w:rPr>
        <w:t>响应供应商</w:t>
      </w:r>
      <w:r>
        <w:rPr>
          <w:rFonts w:hint="eastAsia" w:ascii="宋体" w:hAnsi="宋体" w:eastAsia="宋体" w:cs="宋体"/>
          <w:color w:val="auto"/>
          <w:lang w:val="zh-CN" w:eastAsia="zh-CN"/>
        </w:rPr>
        <w:t>归列为推荐成交的候选对象，谈判小组依照候选成交供应商的报价顺序，以有效报价最低者确定为第一成交候选人，以有效报价次低者确定为第二成交候选人。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72" w:firstLineChars="200"/>
        <w:textAlignment w:val="auto"/>
        <w:outlineLvl w:val="9"/>
        <w:rPr>
          <w:rFonts w:hint="eastAsia" w:ascii="宋体" w:hAnsi="宋体" w:eastAsia="宋体" w:cs="宋体"/>
          <w:color w:val="auto"/>
          <w:lang w:val="zh-CN" w:eastAsia="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）谈判小组没有义务必须接受最低报价的</w:t>
      </w:r>
      <w:r>
        <w:rPr>
          <w:rFonts w:hint="eastAsia" w:hAnsi="宋体" w:cs="宋体"/>
          <w:color w:val="auto"/>
          <w:lang w:val="zh-CN" w:eastAsia="zh-CN"/>
        </w:rPr>
        <w:t>响应供应商为成交供应商</w:t>
      </w:r>
      <w:r>
        <w:rPr>
          <w:rFonts w:hint="eastAsia" w:ascii="宋体" w:hAnsi="宋体" w:eastAsia="宋体" w:cs="宋体"/>
          <w:color w:val="auto"/>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6</w:t>
      </w:r>
      <w:r>
        <w:rPr>
          <w:rFonts w:hint="eastAsia" w:ascii="宋体" w:hAnsi="宋体" w:eastAsia="宋体" w:cs="宋体"/>
          <w:color w:val="auto"/>
          <w:sz w:val="24"/>
          <w:szCs w:val="24"/>
          <w:lang w:val="en-US" w:eastAsia="zh-CN"/>
        </w:rPr>
        <w:t>.编写评审</w:t>
      </w:r>
      <w:r>
        <w:rPr>
          <w:rFonts w:hint="eastAsia" w:hAnsi="宋体" w:cs="宋体"/>
          <w:color w:val="auto"/>
          <w:sz w:val="24"/>
          <w:szCs w:val="24"/>
          <w:lang w:val="en-US"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评审结果编写的报告，其主要内容包括：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（1）谈判公告刊登的媒体名称、报价日期和地点；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（2）购买谈判文件的</w:t>
      </w:r>
      <w:r>
        <w:rPr>
          <w:rFonts w:hint="eastAsia" w:hAnsi="宋体" w:cs="宋体"/>
          <w:color w:val="auto"/>
          <w:sz w:val="24"/>
          <w:szCs w:val="24"/>
          <w:lang w:val="en-US" w:eastAsia="zh-CN"/>
        </w:rPr>
        <w:t>响应供应商</w:t>
      </w:r>
      <w:r>
        <w:rPr>
          <w:rFonts w:hint="eastAsia" w:ascii="宋体" w:hAnsi="宋体" w:eastAsia="宋体" w:cs="宋体"/>
          <w:color w:val="auto"/>
          <w:sz w:val="24"/>
          <w:szCs w:val="24"/>
          <w:lang w:val="en-US" w:eastAsia="zh-CN"/>
        </w:rPr>
        <w:t>名单和谈判小组成员名单；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（3）评审方法和标准；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（4）报价记录和评审情况及说明，包括报价无效</w:t>
      </w:r>
      <w:r>
        <w:rPr>
          <w:rFonts w:hint="eastAsia" w:hAnsi="宋体" w:cs="宋体"/>
          <w:color w:val="auto"/>
          <w:sz w:val="24"/>
          <w:szCs w:val="24"/>
          <w:lang w:val="en-US" w:eastAsia="zh-CN"/>
        </w:rPr>
        <w:t>响应供应商</w:t>
      </w:r>
      <w:r>
        <w:rPr>
          <w:rFonts w:hint="eastAsia" w:ascii="宋体" w:hAnsi="宋体" w:eastAsia="宋体" w:cs="宋体"/>
          <w:color w:val="auto"/>
          <w:sz w:val="24"/>
          <w:szCs w:val="24"/>
          <w:lang w:val="en-US" w:eastAsia="zh-CN"/>
        </w:rPr>
        <w:t>名单及原因；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（5）评审结果和成交候选供应商排序表；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（6）谈判小组确定成交供应商。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三、响应无效的情况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1.有下列情形之一的，视为供应商串通响应，其响应无效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（1）不同供应商的响应文件由同一单位或者个人编制；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（2）不同供应商委托同一单位或者个人办理响应事宜；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（3）不同供应商的响应文件载明的项目管理成员或者联系人员为同一人；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（4）不同供应商的响应文件异常一致或者谈判报价呈规律性差异；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（5）不同供应商的响应文件相互混装；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（6）不同供应商的响应保证金或电子保函支付款为从同一单位或个人的账户转出。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（7）供应商上传的电子响应文件使用该项目其他响应供应商的数字证书加密的或加盖该项目的其他响应供应商的电子印章的。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说明：在评审过程中发现供应商有上述情形的，谈判小组应当认定其响应无效，并书面报告本级财政部门。同时，项目评审时被认定为串通响应的供应商不得参加该合同项下的采购活动。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2.有下列情形之一的，属于恶意串通响应：</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（1）供应商直接或者间接从采购人或者采购代理机构处获得其他供应商的相关情况并修改其响应文件；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（2）供应商按照采购人或者采购代理机构的授意撤换、修改响应文件；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（3）供应商之间协商报价、技术方案等响应文件的实质性内容；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（4）属于同一集团、协会、商会等组织成员的供应商按照该组织要求协同参加政府采购活动；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（5）供应商之间事先约定由某一特定供应商成交；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（6）供应商之间商定部分供应商放弃参加政府采购活动或者放弃成交；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（7）供应商与采购人或者采购代理机构之间、供应商相互之间，为谋求特定供应商成交或者排斥其他供应商的其他串通行为。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3.其他响应无效的情形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(1)评审期间，供应商没有按照谈判小组的要求提交法定代表人或其委托代理人签字的澄清、说明、补正或改变了响应文件的实质性内容的。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(2)响应文件提供虚假材料的。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(3)供应商以行贿手段谋取成交或者以其他弄虚作假方式响应的。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(4)供应商对采购人、采购代理机构、谈判小组及其工作人员施加影响，有碍协商公平、公正的。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(5)响应文件含有采购人不能接受的附加条件的。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(6)法律、法规和谈判文件规定的其他无效情形。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4.终止竞争性谈判采购活动的情形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出现下列情形之一的，采购人或者采购代理机构应当终止竞争性谈判采购活动，发布项目终止公告并说明原因，重新开展采购活动：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（1）因情况变化，不再符合规定的竞争性谈判采购方式适用情形的；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（3）在采购过程中符合谈判要求的供应商或者报价未超过采购预算的供应商不足3家的，但经财政部门批准的情形除外；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（4）法律、法规以及谈判文件规定其他情形。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四、价格修正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对报价的计算错误按以下原则修正：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（1）响应文件中首轮报价表内容与响应文件中相应内容不一致的，以首轮报价表为准；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（2）大写金额和小写金额不一致的，以大写金额为准；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（3）单价金额小数点或者百分比有明显错位的，以报价一览表的总价为准，并修改单价；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（4）总价金额与按单价汇总金额不一致的，以单价金额计算结果为准。但是单价金额计算结果超过预算价的，对其按无效响应处理；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（5）若投标客户端上传的电子报价数据与电子响应文件价格不一致的，以电子报价数据为准。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pPr>
        <w:pStyle w:val="3"/>
        <w:rPr>
          <w:rFonts w:hint="eastAsia" w:ascii="宋体" w:hAnsi="宋体" w:eastAsia="宋体" w:cs="宋体"/>
          <w:color w:val="auto"/>
          <w:sz w:val="24"/>
          <w:szCs w:val="24"/>
          <w:lang w:val="zh-CN"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附表一</w:t>
      </w:r>
      <w:r>
        <w:rPr>
          <w:rFonts w:hint="eastAsia" w:hAnsi="宋体" w:cs="宋体"/>
          <w:color w:val="auto"/>
          <w:sz w:val="24"/>
          <w:szCs w:val="24"/>
          <w:lang w:val="en-US" w:eastAsia="zh-CN"/>
        </w:rPr>
        <w:t>：</w:t>
      </w:r>
      <w:r>
        <w:rPr>
          <w:rFonts w:hint="eastAsia" w:ascii="宋体" w:hAnsi="宋体" w:eastAsia="宋体" w:cs="宋体"/>
          <w:color w:val="auto"/>
          <w:sz w:val="24"/>
          <w:szCs w:val="24"/>
          <w:lang w:val="en-US" w:eastAsia="zh-CN"/>
        </w:rPr>
        <w:t>《资格性审查表》</w:t>
      </w:r>
    </w:p>
    <w:tbl>
      <w:tblPr>
        <w:tblStyle w:val="21"/>
        <w:tblW w:w="8306"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4942"/>
        <w:gridCol w:w="24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397" w:hRule="atLeast"/>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color w:val="auto"/>
                <w:sz w:val="24"/>
                <w:szCs w:val="24"/>
              </w:rPr>
              <w:t>序号</w:t>
            </w:r>
          </w:p>
        </w:tc>
        <w:tc>
          <w:tcPr>
            <w:tcW w:w="7416" w:type="dxa"/>
            <w:gridSpan w:val="2"/>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97" w:hRule="atLeast"/>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1</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color w:val="auto"/>
                <w:sz w:val="24"/>
                <w:szCs w:val="24"/>
              </w:rPr>
              <w:t>具有独立承担民事责任的能力</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提交营业执照复印件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2</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具有良好的商业信誉和健全的财务会计制度</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提供</w:t>
            </w:r>
            <w:r>
              <w:rPr>
                <w:rFonts w:hint="eastAsia"/>
                <w:color w:val="auto"/>
                <w:sz w:val="24"/>
                <w:szCs w:val="24"/>
                <w:lang w:eastAsia="zh-CN"/>
              </w:rPr>
              <w:t>相应证明资料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3</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有依法缴纳税收和社会保障资金的良好记录</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4</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具有履行合同所必需的设备和专业技术能力</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lang w:eastAsia="zh-CN"/>
              </w:rPr>
              <w:t>提供相应证明资料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5</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参加本次采购活动前三年内在经营活动中没有重大违法记录</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提供书面声明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42" w:hRule="atLeast"/>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6</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本项目不接受联合体报价</w:t>
            </w:r>
            <w:r>
              <w:rPr>
                <w:rFonts w:hint="eastAsia"/>
                <w:color w:val="auto"/>
                <w:sz w:val="24"/>
                <w:szCs w:val="24"/>
                <w:lang w:eastAsia="zh-CN"/>
              </w:rPr>
              <w:t>，不允许</w:t>
            </w:r>
            <w:r>
              <w:rPr>
                <w:rFonts w:hint="eastAsia"/>
                <w:color w:val="auto"/>
                <w:sz w:val="24"/>
                <w:szCs w:val="24"/>
              </w:rPr>
              <w:t>转包</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lang w:eastAsia="zh-CN"/>
              </w:rPr>
              <w:t>提供证明资料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90"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sz w:val="24"/>
                <w:szCs w:val="24"/>
              </w:rPr>
            </w:pPr>
            <w:r>
              <w:rPr>
                <w:color w:val="auto"/>
                <w:sz w:val="24"/>
                <w:szCs w:val="24"/>
              </w:rPr>
              <w:t>7</w:t>
            </w:r>
          </w:p>
        </w:tc>
        <w:tc>
          <w:tcPr>
            <w:tcW w:w="49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rPr>
              <w:t>已登记报名并成功</w:t>
            </w:r>
            <w:r>
              <w:rPr>
                <w:rFonts w:hint="eastAsia"/>
                <w:color w:val="auto"/>
                <w:sz w:val="24"/>
                <w:szCs w:val="24"/>
                <w:lang w:eastAsia="zh-CN"/>
              </w:rPr>
              <w:t>获取</w:t>
            </w:r>
            <w:r>
              <w:rPr>
                <w:rFonts w:hint="eastAsia"/>
                <w:color w:val="auto"/>
                <w:sz w:val="24"/>
                <w:szCs w:val="24"/>
              </w:rPr>
              <w:t>本</w:t>
            </w:r>
            <w:r>
              <w:rPr>
                <w:rFonts w:hint="eastAsia"/>
                <w:color w:val="auto"/>
                <w:sz w:val="24"/>
                <w:szCs w:val="24"/>
                <w:lang w:eastAsia="zh-CN"/>
              </w:rPr>
              <w:t>谈判文件</w:t>
            </w:r>
            <w:r>
              <w:rPr>
                <w:rFonts w:hint="eastAsia"/>
                <w:color w:val="auto"/>
                <w:sz w:val="24"/>
                <w:szCs w:val="24"/>
              </w:rPr>
              <w:t>的</w:t>
            </w:r>
            <w:r>
              <w:rPr>
                <w:rFonts w:hint="eastAsia"/>
                <w:color w:val="auto"/>
                <w:sz w:val="24"/>
                <w:szCs w:val="24"/>
                <w:lang w:eastAsia="zh-CN"/>
              </w:rPr>
              <w:t>响应供应商</w:t>
            </w:r>
          </w:p>
        </w:tc>
        <w:tc>
          <w:tcPr>
            <w:tcW w:w="2474"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color w:val="auto"/>
                <w:sz w:val="24"/>
                <w:szCs w:val="24"/>
              </w:rPr>
            </w:pPr>
            <w:r>
              <w:rPr>
                <w:rFonts w:hint="eastAsia"/>
                <w:color w:val="auto"/>
                <w:sz w:val="24"/>
                <w:szCs w:val="24"/>
                <w:lang w:eastAsia="zh-CN"/>
              </w:rPr>
              <w:t>提供证明资料</w:t>
            </w:r>
          </w:p>
        </w:tc>
      </w:tr>
    </w:tbl>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附表二</w:t>
      </w:r>
      <w:r>
        <w:rPr>
          <w:rFonts w:hint="eastAsia" w:hAnsi="宋体" w:cs="宋体"/>
          <w:color w:val="auto"/>
          <w:sz w:val="24"/>
          <w:szCs w:val="24"/>
          <w:lang w:val="en-US" w:eastAsia="zh-CN"/>
        </w:rPr>
        <w:t>：</w:t>
      </w:r>
      <w:r>
        <w:rPr>
          <w:rFonts w:hint="eastAsia" w:ascii="宋体" w:hAnsi="宋体" w:eastAsia="宋体" w:cs="宋体"/>
          <w:color w:val="auto"/>
          <w:sz w:val="24"/>
          <w:szCs w:val="24"/>
          <w:lang w:val="en-US" w:eastAsia="zh-CN"/>
        </w:rPr>
        <w:t>《符合性审查表》</w:t>
      </w:r>
    </w:p>
    <w:tbl>
      <w:tblPr>
        <w:tblStyle w:val="21"/>
        <w:tblW w:w="8306"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7"/>
        <w:gridCol w:w="2025"/>
        <w:gridCol w:w="54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序号</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评审点要求概况</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1</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签署、盖章</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按照谈判文件规定要求签署、盖章且谈判响应文件有法定代表人签字，或签字人有法定代表人有效授权书的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2</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响应承诺函</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响应承诺函已提交并符合谈判文件要求的，且响应有效期满足谈判文件要求的；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3</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★号条款</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满足谈判文件中要求的实质性响应条款的（即标注★号条款）；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4</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无效响应</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谈判响应文件没有谈判文件中规定的被视为无效响应的其它条款的；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5</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附加条件</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谈判响应文件未含有采购人不能接受的附加条件的；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auto"/>
              </w:rPr>
            </w:pPr>
            <w:r>
              <w:rPr>
                <w:color w:val="auto"/>
              </w:rPr>
              <w:t>6</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响应报价</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响应报价符合谈判文件要求的。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807" w:type="dxa"/>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宋体"/>
                <w:color w:val="auto"/>
                <w:lang w:eastAsia="zh-CN"/>
              </w:rPr>
            </w:pPr>
            <w:r>
              <w:rPr>
                <w:rFonts w:hint="eastAsia"/>
                <w:color w:val="auto"/>
                <w:lang w:val="en-US" w:eastAsia="zh-CN"/>
              </w:rPr>
              <w:t>7</w:t>
            </w:r>
          </w:p>
        </w:tc>
        <w:tc>
          <w:tcPr>
            <w:tcW w:w="2025"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其它响应无效情形</w:t>
            </w:r>
          </w:p>
        </w:tc>
        <w:tc>
          <w:tcPr>
            <w:tcW w:w="5474" w:type="dxa"/>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color w:val="auto"/>
              </w:rPr>
            </w:pPr>
            <w:r>
              <w:rPr>
                <w:color w:val="auto"/>
              </w:rPr>
              <w:t>按有关法律、法规、规章不属于响应无效的。</w:t>
            </w:r>
          </w:p>
        </w:tc>
      </w:tr>
    </w:tbl>
    <w:p>
      <w:pPr>
        <w:pStyle w:val="3"/>
        <w:rPr>
          <w:rFonts w:hint="eastAsia"/>
          <w:color w:val="auto"/>
          <w:lang w:val="zh-CN" w:eastAsia="zh-CN"/>
        </w:rPr>
      </w:pPr>
    </w:p>
    <w:p>
      <w:pPr>
        <w:keepNext/>
        <w:keepLines/>
        <w:pageBreakBefore/>
        <w:widowControl w:val="0"/>
        <w:kinsoku/>
        <w:wordWrap/>
        <w:overflowPunct/>
        <w:topLinePunct w:val="0"/>
        <w:autoSpaceDE w:val="0"/>
        <w:autoSpaceDN w:val="0"/>
        <w:bidi w:val="0"/>
        <w:adjustRightInd w:val="0"/>
        <w:snapToGrid/>
        <w:spacing w:line="360" w:lineRule="auto"/>
        <w:jc w:val="center"/>
        <w:textAlignment w:val="auto"/>
        <w:outlineLvl w:val="0"/>
        <w:rPr>
          <w:rFonts w:hAnsi="宋体"/>
          <w:b/>
          <w:bCs/>
          <w:color w:val="auto"/>
          <w:kern w:val="44"/>
          <w:sz w:val="32"/>
          <w:szCs w:val="32"/>
          <w:lang w:val="zh-CN"/>
        </w:rPr>
      </w:pPr>
      <w:bookmarkStart w:id="43" w:name="_Toc30131"/>
      <w:r>
        <w:rPr>
          <w:rFonts w:hint="eastAsia" w:hAnsi="宋体"/>
          <w:b/>
          <w:bCs/>
          <w:color w:val="auto"/>
          <w:kern w:val="44"/>
          <w:sz w:val="32"/>
          <w:szCs w:val="32"/>
          <w:lang w:val="zh-CN"/>
        </w:rPr>
        <w:br w:type="textWrapping"/>
      </w:r>
      <w:r>
        <w:rPr>
          <w:rFonts w:hint="eastAsia" w:hAnsi="宋体"/>
          <w:b/>
          <w:bCs/>
          <w:color w:val="auto"/>
          <w:kern w:val="44"/>
          <w:sz w:val="32"/>
          <w:szCs w:val="32"/>
          <w:lang w:val="zh-CN"/>
        </w:rPr>
        <w:t>第五篇  合同条款格式</w:t>
      </w:r>
      <w:bookmarkEnd w:id="40"/>
      <w:bookmarkEnd w:id="43"/>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jc w:val="left"/>
        <w:textAlignment w:val="auto"/>
        <w:outlineLvl w:val="9"/>
        <w:rPr>
          <w:rFonts w:ascii="宋体"/>
          <w:b/>
          <w:color w:val="auto"/>
          <w:sz w:val="44"/>
        </w:rPr>
      </w:pPr>
      <w:bookmarkStart w:id="44" w:name="_Toc382840847"/>
      <w:bookmarkStart w:id="45" w:name="_Toc382926899"/>
      <w:r>
        <w:rPr>
          <w:rFonts w:hint="eastAsia" w:eastAsia="宋体" w:cs="Times New Roman"/>
          <w:color w:val="auto"/>
          <w:sz w:val="24"/>
          <w:szCs w:val="24"/>
        </w:rPr>
        <w:t>注：本合同仅为合同的参考文本，合同签订双方可根据项目的具体要求进行修订，但不得偏离实质性条款。</w:t>
      </w:r>
      <w:r>
        <w:rPr>
          <w:rFonts w:hint="eastAsia" w:ascii="宋体" w:hAnsi="宋体"/>
          <w:b w:val="0"/>
          <w:bCs w:val="0"/>
          <w:color w:val="auto"/>
          <w:sz w:val="24"/>
          <w:szCs w:val="24"/>
        </w:rPr>
        <w:t>最终以甲方提供的样本并经甲乙双方协商一致的合同为准。</w:t>
      </w:r>
    </w:p>
    <w:p>
      <w:pPr>
        <w:pStyle w:val="17"/>
        <w:kinsoku/>
        <w:overflowPunct/>
        <w:topLinePunct w:val="0"/>
        <w:bidi w:val="0"/>
        <w:outlineLvl w:val="9"/>
        <w:rPr>
          <w:rFonts w:hint="eastAsia"/>
          <w:color w:val="auto"/>
        </w:rPr>
      </w:pPr>
    </w:p>
    <w:p>
      <w:pPr>
        <w:kinsoku/>
        <w:overflowPunct/>
        <w:topLinePunct w:val="0"/>
        <w:bidi w:val="0"/>
        <w:outlineLvl w:val="9"/>
        <w:rPr>
          <w:rFonts w:hint="eastAsia"/>
          <w:color w:val="auto"/>
        </w:rPr>
      </w:pPr>
    </w:p>
    <w:p>
      <w:pPr>
        <w:kinsoku/>
        <w:overflowPunct/>
        <w:topLinePunct w:val="0"/>
        <w:bidi w:val="0"/>
        <w:spacing w:line="360" w:lineRule="auto"/>
        <w:jc w:val="center"/>
        <w:outlineLvl w:val="9"/>
        <w:rPr>
          <w:rFonts w:hint="eastAsia" w:hAnsi="宋体" w:eastAsia="宋体" w:cs="Times New Roman"/>
          <w:b/>
          <w:color w:val="auto"/>
          <w:sz w:val="44"/>
          <w:szCs w:val="44"/>
          <w:lang w:eastAsia="zh-CN"/>
        </w:rPr>
      </w:pPr>
      <w:r>
        <w:rPr>
          <w:rFonts w:hint="eastAsia" w:hAnsi="宋体" w:eastAsia="宋体" w:cs="Times New Roman"/>
          <w:b/>
          <w:color w:val="auto"/>
          <w:sz w:val="44"/>
          <w:szCs w:val="44"/>
          <w:lang w:eastAsia="zh-CN"/>
        </w:rPr>
        <w:t>南方医科大学第七附属医院</w:t>
      </w:r>
    </w:p>
    <w:p>
      <w:pPr>
        <w:kinsoku/>
        <w:overflowPunct/>
        <w:topLinePunct w:val="0"/>
        <w:bidi w:val="0"/>
        <w:spacing w:line="360" w:lineRule="auto"/>
        <w:jc w:val="center"/>
        <w:outlineLvl w:val="9"/>
        <w:rPr>
          <w:rFonts w:hint="eastAsia" w:hAnsi="宋体" w:eastAsia="宋体" w:cs="Times New Roman"/>
          <w:b/>
          <w:color w:val="auto"/>
          <w:sz w:val="44"/>
          <w:szCs w:val="44"/>
          <w:lang w:eastAsia="zh-CN"/>
        </w:rPr>
      </w:pPr>
      <w:r>
        <w:rPr>
          <w:rFonts w:hint="eastAsia" w:hAnsi="宋体" w:cs="Times New Roman"/>
          <w:b/>
          <w:color w:val="auto"/>
          <w:sz w:val="44"/>
          <w:szCs w:val="44"/>
          <w:lang w:eastAsia="zh-CN"/>
        </w:rPr>
        <w:t>洗衣房洗涤用品采购项目（第二次）</w:t>
      </w:r>
    </w:p>
    <w:p>
      <w:pPr>
        <w:kinsoku/>
        <w:overflowPunct/>
        <w:topLinePunct w:val="0"/>
        <w:bidi w:val="0"/>
        <w:ind w:right="-26"/>
        <w:jc w:val="center"/>
        <w:outlineLvl w:val="9"/>
        <w:rPr>
          <w:rFonts w:hAnsi="宋体" w:eastAsia="宋体"/>
          <w:b/>
          <w:color w:val="auto"/>
          <w:sz w:val="36"/>
          <w:szCs w:val="36"/>
        </w:rPr>
      </w:pPr>
      <w:r>
        <w:rPr>
          <w:rFonts w:hint="eastAsia" w:hAnsi="宋体" w:eastAsia="宋体"/>
          <w:b/>
          <w:color w:val="auto"/>
          <w:sz w:val="36"/>
          <w:szCs w:val="36"/>
        </w:rPr>
        <w:t>（合同编号：</w:t>
      </w:r>
      <w:r>
        <w:rPr>
          <w:rFonts w:hint="eastAsia" w:hAnsi="宋体" w:eastAsia="宋体"/>
          <w:b/>
          <w:color w:val="auto"/>
          <w:sz w:val="36"/>
          <w:szCs w:val="36"/>
          <w:lang w:val="en-US" w:eastAsia="zh-CN"/>
        </w:rPr>
        <w:t xml:space="preserve">   </w:t>
      </w:r>
      <w:r>
        <w:rPr>
          <w:rFonts w:hint="eastAsia" w:hAnsi="宋体" w:eastAsia="宋体"/>
          <w:b/>
          <w:color w:val="auto"/>
          <w:sz w:val="36"/>
          <w:szCs w:val="36"/>
        </w:rPr>
        <w:t>）</w:t>
      </w:r>
    </w:p>
    <w:p>
      <w:pPr>
        <w:kinsoku/>
        <w:overflowPunct/>
        <w:topLinePunct w:val="0"/>
        <w:bidi w:val="0"/>
        <w:spacing w:line="360" w:lineRule="auto"/>
        <w:jc w:val="center"/>
        <w:outlineLvl w:val="9"/>
        <w:rPr>
          <w:rFonts w:hint="eastAsia" w:ascii="黑体" w:eastAsia="黑体"/>
          <w:b/>
          <w:color w:val="auto"/>
          <w:sz w:val="44"/>
          <w:szCs w:val="44"/>
        </w:rPr>
      </w:pPr>
    </w:p>
    <w:p>
      <w:pPr>
        <w:kinsoku/>
        <w:overflowPunct/>
        <w:topLinePunct w:val="0"/>
        <w:bidi w:val="0"/>
        <w:spacing w:line="360" w:lineRule="auto"/>
        <w:jc w:val="center"/>
        <w:outlineLvl w:val="9"/>
        <w:rPr>
          <w:rFonts w:hint="eastAsia" w:ascii="黑体" w:hAnsi="宋体" w:eastAsia="黑体"/>
          <w:b/>
          <w:color w:val="auto"/>
          <w:sz w:val="72"/>
          <w:szCs w:val="72"/>
        </w:rPr>
      </w:pPr>
      <w:r>
        <w:rPr>
          <w:rFonts w:hint="eastAsia" w:ascii="黑体" w:hAnsi="宋体" w:eastAsia="黑体"/>
          <w:b/>
          <w:color w:val="auto"/>
          <w:sz w:val="72"/>
          <w:szCs w:val="72"/>
          <w:lang w:eastAsia="zh-CN"/>
        </w:rPr>
        <w:t>采</w:t>
      </w:r>
      <w:r>
        <w:rPr>
          <w:rFonts w:hint="eastAsia" w:ascii="黑体" w:hAnsi="宋体" w:eastAsia="黑体"/>
          <w:b/>
          <w:color w:val="auto"/>
          <w:sz w:val="72"/>
          <w:szCs w:val="72"/>
          <w:lang w:val="en-US" w:eastAsia="zh-CN"/>
        </w:rPr>
        <w:t xml:space="preserve">  </w:t>
      </w:r>
      <w:r>
        <w:rPr>
          <w:rFonts w:hint="eastAsia" w:ascii="黑体" w:hAnsi="宋体" w:eastAsia="黑体"/>
          <w:b/>
          <w:color w:val="auto"/>
          <w:sz w:val="72"/>
          <w:szCs w:val="72"/>
          <w:lang w:eastAsia="zh-CN"/>
        </w:rPr>
        <w:t>购</w:t>
      </w:r>
      <w:r>
        <w:rPr>
          <w:rFonts w:hint="eastAsia" w:ascii="黑体" w:hAnsi="宋体" w:eastAsia="黑体"/>
          <w:b/>
          <w:color w:val="auto"/>
          <w:sz w:val="72"/>
          <w:szCs w:val="72"/>
        </w:rPr>
        <w:t xml:space="preserve">  合  同</w:t>
      </w:r>
    </w:p>
    <w:p>
      <w:pPr>
        <w:kinsoku/>
        <w:overflowPunct/>
        <w:topLinePunct w:val="0"/>
        <w:bidi w:val="0"/>
        <w:outlineLvl w:val="9"/>
        <w:rPr>
          <w:rFonts w:hint="eastAsia"/>
          <w:color w:val="auto"/>
        </w:rPr>
      </w:pPr>
    </w:p>
    <w:p>
      <w:pPr>
        <w:kinsoku/>
        <w:overflowPunct/>
        <w:topLinePunct w:val="0"/>
        <w:bidi w:val="0"/>
        <w:outlineLvl w:val="9"/>
        <w:rPr>
          <w:rFonts w:hint="eastAsia"/>
          <w:color w:val="auto"/>
        </w:rPr>
      </w:pPr>
    </w:p>
    <w:p>
      <w:pPr>
        <w:kinsoku/>
        <w:overflowPunct/>
        <w:topLinePunct w:val="0"/>
        <w:bidi w:val="0"/>
        <w:outlineLvl w:val="9"/>
        <w:rPr>
          <w:rFonts w:hint="eastAsia"/>
          <w:color w:val="auto"/>
        </w:rPr>
      </w:pPr>
    </w:p>
    <w:p>
      <w:pPr>
        <w:kinsoku/>
        <w:overflowPunct/>
        <w:topLinePunct w:val="0"/>
        <w:bidi w:val="0"/>
        <w:outlineLvl w:val="9"/>
        <w:rPr>
          <w:rFonts w:hint="eastAsia"/>
          <w:color w:val="auto"/>
        </w:rPr>
      </w:pPr>
    </w:p>
    <w:p>
      <w:pPr>
        <w:kinsoku/>
        <w:overflowPunct/>
        <w:topLinePunct w:val="0"/>
        <w:bidi w:val="0"/>
        <w:ind w:firstLine="1896" w:firstLineChars="600"/>
        <w:outlineLvl w:val="9"/>
        <w:rPr>
          <w:rFonts w:hint="eastAsia" w:hAnsi="宋体"/>
          <w:color w:val="auto"/>
          <w:sz w:val="32"/>
          <w:szCs w:val="32"/>
        </w:rPr>
      </w:pPr>
      <w:r>
        <w:rPr>
          <w:rFonts w:hint="eastAsia" w:hAnsi="宋体"/>
          <w:color w:val="auto"/>
          <w:sz w:val="32"/>
          <w:szCs w:val="32"/>
        </w:rPr>
        <w:t>甲方：</w:t>
      </w:r>
    </w:p>
    <w:p>
      <w:pPr>
        <w:kinsoku/>
        <w:overflowPunct/>
        <w:topLinePunct w:val="0"/>
        <w:bidi w:val="0"/>
        <w:ind w:firstLine="1896" w:firstLineChars="600"/>
        <w:outlineLvl w:val="9"/>
        <w:rPr>
          <w:rFonts w:hint="eastAsia" w:hAnsi="宋体"/>
          <w:color w:val="auto"/>
          <w:sz w:val="32"/>
          <w:szCs w:val="32"/>
        </w:rPr>
      </w:pPr>
      <w:r>
        <w:rPr>
          <w:rFonts w:hint="eastAsia" w:hAnsi="宋体"/>
          <w:color w:val="auto"/>
          <w:sz w:val="32"/>
          <w:szCs w:val="32"/>
        </w:rPr>
        <w:t>乙方：</w:t>
      </w:r>
    </w:p>
    <w:p>
      <w:pPr>
        <w:kinsoku/>
        <w:overflowPunct/>
        <w:topLinePunct w:val="0"/>
        <w:bidi w:val="0"/>
        <w:ind w:firstLine="1896" w:firstLineChars="600"/>
        <w:outlineLvl w:val="9"/>
        <w:rPr>
          <w:rFonts w:hint="eastAsia" w:hAnsi="宋体"/>
          <w:color w:val="auto"/>
        </w:rPr>
        <w:sectPr>
          <w:footerReference r:id="rId5" w:type="default"/>
          <w:pgSz w:w="11906" w:h="16838"/>
          <w:pgMar w:top="1417" w:right="1417" w:bottom="1417" w:left="1474" w:header="1531" w:footer="1531" w:gutter="0"/>
          <w:pgNumType w:fmt="decimal" w:start="1"/>
          <w:cols w:space="720" w:num="1"/>
          <w:docGrid w:type="linesAndChars" w:linePitch="584" w:charSpace="-849"/>
        </w:sectPr>
      </w:pPr>
      <w:r>
        <w:rPr>
          <w:rFonts w:hint="eastAsia" w:hAnsi="宋体"/>
          <w:color w:val="auto"/>
          <w:sz w:val="32"/>
          <w:szCs w:val="32"/>
        </w:rPr>
        <w:t>签署地点：</w:t>
      </w:r>
      <w:r>
        <w:rPr>
          <w:rFonts w:hint="eastAsia" w:hAnsi="宋体"/>
          <w:color w:val="auto"/>
        </w:rPr>
        <w:t xml:space="preserve">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lang w:eastAsia="zh-CN"/>
        </w:rPr>
        <w:t>南方医科大学第七附属医院</w:t>
      </w:r>
      <w:r>
        <w:rPr>
          <w:rFonts w:hint="eastAsia" w:ascii="宋体" w:hAnsi="宋体" w:eastAsia="宋体" w:cs="Times New Roman"/>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法人代表：</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电话：0757-85631665</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传真：0757-85623006</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地址：佛山市南海区里水镇里官路得胜段28号</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邮箱：</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乙方：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法人代表：</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电话：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传真：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邮箱：</w:t>
      </w:r>
    </w:p>
    <w:p>
      <w:pPr>
        <w:kinsoku/>
        <w:overflowPunct/>
        <w:topLinePunct w:val="0"/>
        <w:bidi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tabs>
          <w:tab w:val="left" w:pos="720"/>
        </w:tabs>
        <w:kinsoku/>
        <w:overflowPunct/>
        <w:topLinePunct w:val="0"/>
        <w:bidi w:val="0"/>
        <w:spacing w:line="360" w:lineRule="auto"/>
        <w:outlineLvl w:val="9"/>
        <w:rPr>
          <w:rFonts w:hint="eastAsia" w:ascii="宋体" w:hAnsi="宋体" w:eastAsia="宋体" w:cs="宋体"/>
          <w:color w:val="auto"/>
          <w:sz w:val="24"/>
          <w:szCs w:val="24"/>
        </w:rPr>
      </w:pPr>
    </w:p>
    <w:p>
      <w:pPr>
        <w:keepNext w:val="0"/>
        <w:keepLines w:val="0"/>
        <w:pageBreakBefore w:val="0"/>
        <w:widowControl w:val="0"/>
        <w:tabs>
          <w:tab w:val="left" w:pos="720"/>
        </w:tabs>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pPr>
        <w:keepNext w:val="0"/>
        <w:keepLines w:val="0"/>
        <w:pageBreakBefore w:val="0"/>
        <w:widowControl w:val="0"/>
        <w:tabs>
          <w:tab w:val="left" w:pos="720"/>
        </w:tabs>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项目编号：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根据</w:t>
      </w:r>
      <w:r>
        <w:rPr>
          <w:rFonts w:hint="eastAsia" w:ascii="宋体" w:hAnsi="宋体" w:eastAsia="宋体" w:cs="宋体"/>
          <w:color w:val="auto"/>
          <w:kern w:val="28"/>
          <w:sz w:val="24"/>
          <w:szCs w:val="24"/>
          <w:lang w:val="en-US" w:eastAsia="zh-CN"/>
        </w:rPr>
        <w:t>“</w:t>
      </w:r>
      <w:r>
        <w:rPr>
          <w:rFonts w:hint="eastAsia" w:hAnsi="宋体" w:cs="宋体"/>
          <w:color w:val="auto"/>
          <w:kern w:val="28"/>
          <w:sz w:val="24"/>
          <w:szCs w:val="24"/>
          <w:lang w:eastAsia="zh-CN"/>
        </w:rPr>
        <w:t>洗衣房洗涤用品采购项目（第二次）</w:t>
      </w:r>
      <w:r>
        <w:rPr>
          <w:rFonts w:hint="eastAsia" w:ascii="宋体" w:hAnsi="宋体" w:eastAsia="宋体" w:cs="宋体"/>
          <w:color w:val="auto"/>
          <w:kern w:val="28"/>
          <w:sz w:val="24"/>
          <w:szCs w:val="24"/>
          <w:lang w:val="en-US" w:eastAsia="zh-CN"/>
        </w:rPr>
        <w:t>”</w:t>
      </w:r>
      <w:r>
        <w:rPr>
          <w:rFonts w:hint="eastAsia" w:ascii="宋体" w:hAnsi="宋体" w:eastAsia="宋体" w:cs="宋体"/>
          <w:color w:val="auto"/>
          <w:kern w:val="28"/>
          <w:sz w:val="24"/>
          <w:szCs w:val="24"/>
        </w:rPr>
        <w:t>的采购结果，按照《中华人民共和国政府采购法》、《</w:t>
      </w:r>
      <w:r>
        <w:rPr>
          <w:rFonts w:hint="eastAsia" w:ascii="宋体" w:hAnsi="宋体" w:eastAsia="宋体" w:cs="宋体"/>
          <w:color w:val="auto"/>
          <w:kern w:val="28"/>
          <w:sz w:val="24"/>
          <w:szCs w:val="24"/>
          <w:lang w:eastAsia="zh-CN"/>
        </w:rPr>
        <w:t>中华人民共和国民法典</w:t>
      </w:r>
      <w:r>
        <w:rPr>
          <w:rFonts w:hint="eastAsia" w:ascii="宋体" w:hAnsi="宋体" w:eastAsia="宋体" w:cs="宋体"/>
          <w:color w:val="auto"/>
          <w:kern w:val="28"/>
          <w:sz w:val="24"/>
          <w:szCs w:val="24"/>
        </w:rPr>
        <w:t>》</w:t>
      </w:r>
      <w:r>
        <w:rPr>
          <w:rFonts w:hint="eastAsia" w:ascii="宋体" w:hAnsi="宋体" w:eastAsia="宋体" w:cs="宋体"/>
          <w:color w:val="auto"/>
          <w:kern w:val="28"/>
          <w:sz w:val="24"/>
          <w:szCs w:val="24"/>
          <w:lang w:eastAsia="zh-CN"/>
        </w:rPr>
        <w:t>（合同编）</w:t>
      </w:r>
      <w:r>
        <w:rPr>
          <w:rFonts w:hint="eastAsia" w:ascii="宋体" w:hAnsi="宋体" w:eastAsia="宋体" w:cs="宋体"/>
          <w:color w:val="auto"/>
          <w:kern w:val="28"/>
          <w:sz w:val="24"/>
          <w:szCs w:val="24"/>
        </w:rPr>
        <w:t>的相关规定，经双方协商，本着平等互利和诚实信用的原则，一致同意签订本合同如下。</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合同标的</w:t>
      </w:r>
    </w:p>
    <w:tbl>
      <w:tblPr>
        <w:tblStyle w:val="21"/>
        <w:tblW w:w="8483" w:type="dxa"/>
        <w:jc w:val="center"/>
        <w:tblInd w:w="0" w:type="dxa"/>
        <w:tblLayout w:type="fixed"/>
        <w:tblCellMar>
          <w:top w:w="0" w:type="dxa"/>
          <w:left w:w="30" w:type="dxa"/>
          <w:bottom w:w="0" w:type="dxa"/>
          <w:right w:w="30" w:type="dxa"/>
        </w:tblCellMar>
      </w:tblPr>
      <w:tblGrid>
        <w:gridCol w:w="630"/>
        <w:gridCol w:w="1550"/>
        <w:gridCol w:w="1725"/>
        <w:gridCol w:w="1050"/>
        <w:gridCol w:w="1035"/>
        <w:gridCol w:w="1035"/>
        <w:gridCol w:w="1458"/>
      </w:tblGrid>
      <w:tr>
        <w:tblPrEx>
          <w:tblLayout w:type="fixed"/>
          <w:tblCellMar>
            <w:top w:w="0" w:type="dxa"/>
            <w:left w:w="30" w:type="dxa"/>
            <w:bottom w:w="0" w:type="dxa"/>
            <w:right w:w="30" w:type="dxa"/>
          </w:tblCellMar>
        </w:tblPrEx>
        <w:trPr>
          <w:cantSplit/>
          <w:trHeight w:val="438"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eastAsia" w:hAnsi="宋体"/>
                <w:color w:val="auto"/>
                <w:sz w:val="21"/>
                <w:szCs w:val="21"/>
              </w:rPr>
              <w:t>序号</w:t>
            </w:r>
          </w:p>
        </w:tc>
        <w:tc>
          <w:tcPr>
            <w:tcW w:w="155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eastAsia" w:hAnsi="宋体"/>
                <w:color w:val="auto"/>
                <w:sz w:val="21"/>
                <w:szCs w:val="21"/>
              </w:rPr>
              <w:t>名称</w:t>
            </w:r>
          </w:p>
        </w:tc>
        <w:tc>
          <w:tcPr>
            <w:tcW w:w="172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eastAsia" w:hAnsi="宋体"/>
                <w:color w:val="auto"/>
                <w:sz w:val="21"/>
                <w:szCs w:val="21"/>
              </w:rPr>
              <w:t>型号规格</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eastAsia" w:hAnsi="宋体"/>
                <w:color w:val="auto"/>
                <w:sz w:val="21"/>
                <w:szCs w:val="21"/>
              </w:rPr>
              <w:t>制造商</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eastAsia" w:hAnsi="宋体"/>
                <w:color w:val="auto"/>
                <w:sz w:val="21"/>
                <w:szCs w:val="21"/>
              </w:rPr>
              <w:t>单位</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eastAsiaTheme="minorEastAsia"/>
                <w:color w:val="auto"/>
                <w:sz w:val="21"/>
                <w:szCs w:val="21"/>
                <w:lang w:eastAsia="zh-CN"/>
              </w:rPr>
            </w:pPr>
            <w:r>
              <w:rPr>
                <w:rFonts w:hint="eastAsia" w:hAnsi="宋体"/>
                <w:color w:val="auto"/>
                <w:sz w:val="21"/>
                <w:szCs w:val="21"/>
                <w:lang w:eastAsia="zh-CN"/>
              </w:rPr>
              <w:t>单价</w:t>
            </w:r>
          </w:p>
        </w:tc>
        <w:tc>
          <w:tcPr>
            <w:tcW w:w="1458"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eastAsia" w:hAnsi="宋体"/>
                <w:color w:val="auto"/>
                <w:sz w:val="21"/>
                <w:szCs w:val="21"/>
              </w:rPr>
              <w:t>备注</w:t>
            </w: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eastAsiaTheme="minorEastAsia"/>
                <w:color w:val="auto"/>
                <w:sz w:val="21"/>
                <w:szCs w:val="21"/>
                <w:lang w:val="en-US" w:eastAsia="zh-CN"/>
              </w:rPr>
            </w:pPr>
            <w:r>
              <w:rPr>
                <w:rFonts w:hint="eastAsia" w:hAnsi="宋体"/>
                <w:color w:val="auto"/>
                <w:sz w:val="21"/>
                <w:szCs w:val="21"/>
                <w:lang w:val="en-US" w:eastAsia="zh-CN"/>
              </w:rPr>
              <w:t>1</w:t>
            </w:r>
          </w:p>
        </w:tc>
        <w:tc>
          <w:tcPr>
            <w:tcW w:w="155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72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05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bidi w:val="0"/>
              <w:spacing w:line="360" w:lineRule="auto"/>
              <w:jc w:val="center"/>
              <w:outlineLvl w:val="9"/>
              <w:rPr>
                <w:rFonts w:hint="eastAsia" w:hAnsi="宋体"/>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458"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eastAsiaTheme="minorEastAsia"/>
                <w:color w:val="auto"/>
                <w:sz w:val="21"/>
                <w:szCs w:val="21"/>
                <w:lang w:val="en-US" w:eastAsia="zh-CN"/>
              </w:rPr>
            </w:pPr>
            <w:r>
              <w:rPr>
                <w:rFonts w:hint="eastAsia" w:hAnsi="宋体"/>
                <w:color w:val="auto"/>
                <w:sz w:val="21"/>
                <w:szCs w:val="21"/>
                <w:lang w:val="en-US" w:eastAsia="zh-CN"/>
              </w:rPr>
              <w:t>2</w:t>
            </w:r>
          </w:p>
        </w:tc>
        <w:tc>
          <w:tcPr>
            <w:tcW w:w="155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72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05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bidi w:val="0"/>
              <w:spacing w:line="360" w:lineRule="auto"/>
              <w:jc w:val="center"/>
              <w:outlineLvl w:val="9"/>
              <w:rPr>
                <w:rFonts w:hint="eastAsia" w:hAnsi="宋体"/>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458"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eastAsiaTheme="minorEastAsia"/>
                <w:color w:val="auto"/>
                <w:sz w:val="21"/>
                <w:szCs w:val="21"/>
                <w:lang w:val="en-US" w:eastAsia="zh-CN"/>
              </w:rPr>
            </w:pPr>
            <w:r>
              <w:rPr>
                <w:rFonts w:hint="eastAsia" w:hAnsi="宋体"/>
                <w:color w:val="auto"/>
                <w:sz w:val="21"/>
                <w:szCs w:val="21"/>
                <w:lang w:val="en-US" w:eastAsia="zh-CN"/>
              </w:rPr>
              <w:t>3</w:t>
            </w:r>
          </w:p>
        </w:tc>
        <w:tc>
          <w:tcPr>
            <w:tcW w:w="155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72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05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bidi w:val="0"/>
              <w:spacing w:line="360" w:lineRule="auto"/>
              <w:jc w:val="center"/>
              <w:outlineLvl w:val="9"/>
              <w:rPr>
                <w:rFonts w:hint="eastAsia" w:hAnsi="宋体"/>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458"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r>
              <w:rPr>
                <w:rFonts w:hint="default" w:ascii="Arial" w:hAnsi="Arial" w:cs="Arial"/>
                <w:color w:val="auto"/>
                <w:sz w:val="21"/>
                <w:szCs w:val="21"/>
              </w:rPr>
              <w:t>…</w:t>
            </w:r>
          </w:p>
        </w:tc>
        <w:tc>
          <w:tcPr>
            <w:tcW w:w="1550"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color w:val="auto"/>
                <w:sz w:val="21"/>
                <w:szCs w:val="21"/>
              </w:rPr>
            </w:pPr>
          </w:p>
        </w:tc>
        <w:tc>
          <w:tcPr>
            <w:tcW w:w="172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b/>
                <w:color w:val="auto"/>
                <w:sz w:val="21"/>
                <w:szCs w:val="21"/>
              </w:rPr>
            </w:pPr>
          </w:p>
        </w:tc>
        <w:tc>
          <w:tcPr>
            <w:tcW w:w="1050"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bidi w:val="0"/>
              <w:spacing w:line="360" w:lineRule="auto"/>
              <w:jc w:val="center"/>
              <w:outlineLvl w:val="9"/>
              <w:rPr>
                <w:rFonts w:hint="eastAsia" w:hAnsi="宋体"/>
                <w:b/>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b/>
                <w:color w:val="auto"/>
                <w:sz w:val="21"/>
                <w:szCs w:val="21"/>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kinsoku/>
              <w:overflowPunct/>
              <w:topLinePunct w:val="0"/>
              <w:bidi w:val="0"/>
              <w:spacing w:line="360" w:lineRule="auto"/>
              <w:jc w:val="center"/>
              <w:outlineLvl w:val="9"/>
              <w:rPr>
                <w:rFonts w:hint="eastAsia" w:hAnsi="宋体"/>
                <w:b/>
                <w:color w:val="auto"/>
                <w:sz w:val="21"/>
                <w:szCs w:val="21"/>
              </w:rPr>
            </w:pPr>
          </w:p>
        </w:tc>
        <w:tc>
          <w:tcPr>
            <w:tcW w:w="1458" w:type="dxa"/>
            <w:tcBorders>
              <w:top w:val="single" w:color="auto" w:sz="6" w:space="0"/>
              <w:left w:val="single" w:color="auto" w:sz="6" w:space="0"/>
              <w:bottom w:val="single" w:color="auto" w:sz="6" w:space="0"/>
              <w:right w:val="single" w:color="auto" w:sz="6" w:space="0"/>
            </w:tcBorders>
            <w:noWrap w:val="0"/>
            <w:vAlign w:val="top"/>
          </w:tcPr>
          <w:p>
            <w:pPr>
              <w:kinsoku/>
              <w:overflowPunct/>
              <w:topLinePunct w:val="0"/>
              <w:bidi w:val="0"/>
              <w:spacing w:line="360" w:lineRule="auto"/>
              <w:jc w:val="center"/>
              <w:outlineLvl w:val="9"/>
              <w:rPr>
                <w:rFonts w:hint="eastAsia" w:hAnsi="宋体"/>
                <w:b/>
                <w:color w:val="auto"/>
                <w:sz w:val="21"/>
                <w:szCs w:val="21"/>
              </w:rPr>
            </w:pPr>
          </w:p>
        </w:tc>
      </w:tr>
    </w:tbl>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Theme="minorEastAsia" w:hAnsiTheme="minorEastAsia" w:eastAsiaTheme="minorEastAsia" w:cstheme="minorEastAsia"/>
          <w:color w:val="auto"/>
          <w:kern w:val="28"/>
          <w:sz w:val="24"/>
          <w:szCs w:val="24"/>
          <w:lang w:val="en-US" w:eastAsia="zh-CN"/>
        </w:rPr>
        <w:t>说明：</w:t>
      </w:r>
      <w:r>
        <w:rPr>
          <w:rFonts w:hint="eastAsia" w:asciiTheme="minorEastAsia" w:hAnsiTheme="minorEastAsia" w:cstheme="minorEastAsia"/>
          <w:color w:val="auto"/>
          <w:kern w:val="28"/>
          <w:sz w:val="24"/>
          <w:szCs w:val="24"/>
          <w:lang w:val="en-US" w:eastAsia="zh-CN"/>
        </w:rPr>
        <w:t>货物单价</w:t>
      </w:r>
      <w:r>
        <w:rPr>
          <w:rFonts w:hint="eastAsia" w:asciiTheme="minorEastAsia" w:hAnsiTheme="minorEastAsia" w:eastAsiaTheme="minorEastAsia" w:cstheme="minorEastAsia"/>
          <w:color w:val="auto"/>
          <w:kern w:val="28"/>
          <w:sz w:val="24"/>
          <w:szCs w:val="24"/>
          <w:lang w:val="en-US" w:eastAsia="zh-CN"/>
        </w:rPr>
        <w:t>包括</w:t>
      </w:r>
      <w:r>
        <w:rPr>
          <w:rFonts w:hint="eastAsia" w:asciiTheme="minorEastAsia" w:hAnsiTheme="minorEastAsia" w:cstheme="minorEastAsia"/>
          <w:color w:val="auto"/>
          <w:kern w:val="28"/>
          <w:sz w:val="24"/>
          <w:szCs w:val="24"/>
          <w:lang w:val="en-US" w:eastAsia="zh-CN"/>
        </w:rPr>
        <w:t>但不限于货物费用、运输费</w:t>
      </w:r>
      <w:r>
        <w:rPr>
          <w:rFonts w:hint="eastAsia" w:asciiTheme="minorEastAsia" w:hAnsiTheme="minorEastAsia" w:eastAsiaTheme="minorEastAsia" w:cstheme="minorEastAsia"/>
          <w:color w:val="auto"/>
          <w:kern w:val="28"/>
          <w:sz w:val="24"/>
          <w:szCs w:val="24"/>
          <w:lang w:val="en-US" w:eastAsia="zh-CN"/>
        </w:rPr>
        <w:t>、</w:t>
      </w:r>
      <w:r>
        <w:rPr>
          <w:rFonts w:hint="eastAsia" w:asciiTheme="minorEastAsia" w:hAnsiTheme="minorEastAsia" w:cstheme="minorEastAsia"/>
          <w:color w:val="auto"/>
          <w:kern w:val="28"/>
          <w:sz w:val="24"/>
          <w:szCs w:val="24"/>
          <w:lang w:val="en-US" w:eastAsia="zh-CN"/>
        </w:rPr>
        <w:t>人员经费、保险费、</w:t>
      </w:r>
      <w:r>
        <w:rPr>
          <w:rFonts w:hint="eastAsia" w:asciiTheme="minorEastAsia" w:hAnsiTheme="minorEastAsia" w:eastAsiaTheme="minorEastAsia" w:cstheme="minorEastAsia"/>
          <w:color w:val="auto"/>
          <w:kern w:val="28"/>
          <w:sz w:val="24"/>
          <w:szCs w:val="24"/>
          <w:lang w:val="en-US" w:eastAsia="zh-CN"/>
        </w:rPr>
        <w:t>各项税费及</w:t>
      </w:r>
      <w:r>
        <w:rPr>
          <w:rFonts w:hint="eastAsia" w:ascii="宋体" w:hAnsi="宋体" w:eastAsia="宋体" w:cs="宋体"/>
          <w:color w:val="auto"/>
          <w:kern w:val="28"/>
          <w:sz w:val="24"/>
          <w:szCs w:val="24"/>
          <w:lang w:val="en-US" w:eastAsia="zh-CN"/>
        </w:rPr>
        <w:t>合同实施过程中不可预见费用等项目相关的一切费用。</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二、服务期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rPr>
      </w:pPr>
      <w:r>
        <w:rPr>
          <w:rFonts w:hint="eastAsia" w:ascii="宋体" w:hAnsi="宋体" w:eastAsia="宋体" w:cs="宋体"/>
          <w:color w:val="auto"/>
          <w:kern w:val="28"/>
          <w:sz w:val="24"/>
          <w:szCs w:val="24"/>
          <w:lang w:val="en-US" w:eastAsia="zh-CN"/>
        </w:rPr>
        <w:t>服务期：自合同签订生效之日起三十六个月。</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三、交货时间、交货地点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1.交货时间：乙方接到甲方通知后，次日正常上班时间内（上午8：30-下午4：00）完成送货。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2.交货地点：佛山市南海区里水镇里官路得胜段28号南方医科大学第七附属医院洗衣房内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3.交接方式：双方设置登记本，清楚记录送货数量，回收桶数量，尚欠桶数量等，作为结算统计依据，检测合格报告随货同行。</w:t>
      </w:r>
    </w:p>
    <w:p>
      <w:pPr>
        <w:keepNext w:val="0"/>
        <w:keepLines w:val="0"/>
        <w:pageBreakBefore w:val="0"/>
        <w:widowControl w:val="0"/>
        <w:numPr>
          <w:ilvl w:val="0"/>
          <w:numId w:val="0"/>
        </w:numPr>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
        </w:rPr>
        <w:t>4.货物运送至甲方指定交货地点前或不按本条约定时间运送货物致使甲方未能及时收取货物的，在甲方收取货物前的毁损、灭失风险均由乙方承担。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四、服务需求</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1.乙方所供产品必须符合中华人民共和国国家标准及行业标准，质量标准必须按国家现行规范执行；</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2.洗涤效果要达到院感管理制度要求，有消毒功效，防止医源性感染，能够有效去除各种污渍，不留痕迹。不添加荧光增白剂，不含致敏成分，无刺鼻气味；</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3.乙方提供所需消毒洗涤用品的供应、运输、售后和培训等相关服务。提供原装且符合用户质量需求的货物，保证完好、无破损、配置与送货单相符；</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4.乙方免费提供特殊污渍洗涤项目，并保证三个工作日内完成洗涤和收送服务；</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5.乙方每季度一次将医院织物送至有资质的检测机构进行微生物检测，费用由乙方负责；</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8"/>
          <w:sz w:val="24"/>
          <w:szCs w:val="24"/>
          <w:lang w:val="en-US" w:eastAsia="zh-CN"/>
        </w:rPr>
      </w:pPr>
      <w:r>
        <w:rPr>
          <w:rFonts w:hint="eastAsia" w:ascii="宋体" w:hAnsi="宋体" w:eastAsia="宋体" w:cs="宋体"/>
          <w:color w:val="auto"/>
          <w:kern w:val="28"/>
          <w:sz w:val="24"/>
          <w:szCs w:val="24"/>
          <w:lang w:val="en-US" w:eastAsia="zh-CN"/>
        </w:rPr>
        <w:t>6.乙方向甲方提供两台或以上洗涤剂分配器，可匹配采购的洗涤剂使用，并做好安装、维护和售后服务。</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五、包装标准、包装物的供应与回收</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1.货物所需包装由乙方负责，适合运输、防潮、防湿、防震、防腐蚀等要求，因包装不当，给甲方或其他第三方造成的损失与责任均为乙方承担。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2.乙方提供本合同货物的包装物。包装物可由乙方收回，乙方不得向甲方收取包装物的任何费用，包括租赁费用、押金等。</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六、验收</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1.验收内容包括货物的质量、规格、数量、重量、外包装是否完好等。</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在货物使用过程中出现质量问题后立即以电话联系方式通知乙方，并在3个工作日内以书面形式向乙方提出异议；双方对怀疑质量存在问题的货物样品送有资质检测机构进行检测，检测结果为货物质量问题，检测费用与造成甲方损失的一切费用由乙方承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七、结算方式</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1.月度结算：按实际入库合格数量计算。乙方在送货次月5号前提供相关资料申请付款，甲方审核无误后【30】天内通过银行转账方式向乙方支付。</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2.申请付款资料：</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2.1有效等额发票</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2.2合同（首次）</w:t>
      </w:r>
    </w:p>
    <w:p>
      <w:pPr>
        <w:keepNext w:val="0"/>
        <w:keepLines w:val="0"/>
        <w:pageBreakBefore w:val="0"/>
        <w:widowControl w:val="0"/>
        <w:numPr>
          <w:ilvl w:val="0"/>
          <w:numId w:val="0"/>
        </w:numPr>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2.3送货单</w:t>
      </w:r>
    </w:p>
    <w:p>
      <w:pPr>
        <w:keepNext w:val="0"/>
        <w:keepLines w:val="0"/>
        <w:pageBreakBefore w:val="0"/>
        <w:numPr>
          <w:ilvl w:val="0"/>
          <w:numId w:val="0"/>
        </w:numPr>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2.4中标通知书（首次）</w:t>
      </w:r>
    </w:p>
    <w:p>
      <w:pPr>
        <w:keepNext w:val="0"/>
        <w:keepLines w:val="0"/>
        <w:pageBreakBefore w:val="0"/>
        <w:numPr>
          <w:ilvl w:val="0"/>
          <w:numId w:val="0"/>
        </w:numPr>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2.5检测合格报告书</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八、违约责任</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sz w:val="24"/>
          <w:szCs w:val="24"/>
          <w:highlight w:val="none"/>
          <w:lang w:val="en-US" w:eastAsia="zh-CN"/>
        </w:rPr>
        <w:t>未能按照合同约定时间交货到指定地点的，</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sz w:val="24"/>
          <w:szCs w:val="24"/>
          <w:highlight w:val="none"/>
          <w:lang w:val="en-US" w:eastAsia="zh-CN"/>
        </w:rPr>
        <w:t>向</w:t>
      </w:r>
      <w:r>
        <w:rPr>
          <w:rFonts w:hint="eastAsia" w:hAnsi="宋体" w:cs="宋体"/>
          <w:strike w:val="0"/>
          <w:dstrike w:val="0"/>
          <w:color w:val="auto"/>
          <w:sz w:val="24"/>
          <w:szCs w:val="24"/>
          <w:highlight w:val="none"/>
          <w:lang w:val="en-US" w:eastAsia="zh-CN"/>
        </w:rPr>
        <w:t>甲方</w:t>
      </w:r>
      <w:r>
        <w:rPr>
          <w:rFonts w:hint="eastAsia" w:ascii="宋体" w:hAnsi="宋体" w:eastAsia="宋体" w:cs="宋体"/>
          <w:strike w:val="0"/>
          <w:dstrike w:val="0"/>
          <w:color w:val="auto"/>
          <w:sz w:val="24"/>
          <w:szCs w:val="24"/>
          <w:highlight w:val="none"/>
          <w:lang w:val="en-US" w:eastAsia="zh-CN"/>
        </w:rPr>
        <w:t>赔偿人民币【</w:t>
      </w:r>
      <w:r>
        <w:rPr>
          <w:rFonts w:hint="eastAsia"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lang w:val="en-US" w:eastAsia="zh-CN"/>
        </w:rPr>
        <w:t>累计</w:t>
      </w:r>
      <w:r>
        <w:rPr>
          <w:rFonts w:hint="eastAsia" w:hAnsi="宋体" w:cs="宋体"/>
          <w:strike w:val="0"/>
          <w:dstrike w:val="0"/>
          <w:color w:val="auto"/>
          <w:sz w:val="24"/>
          <w:szCs w:val="24"/>
          <w:highlight w:val="none"/>
          <w:lang w:val="en-US" w:eastAsia="zh-CN"/>
        </w:rPr>
        <w:t>违约</w:t>
      </w:r>
      <w:r>
        <w:rPr>
          <w:rFonts w:hint="eastAsia" w:ascii="宋体" w:hAnsi="宋体" w:eastAsia="宋体" w:cs="宋体"/>
          <w:strike w:val="0"/>
          <w:dstrike w:val="0"/>
          <w:color w:val="auto"/>
          <w:sz w:val="24"/>
          <w:szCs w:val="24"/>
          <w:highlight w:val="none"/>
          <w:lang w:val="en-US" w:eastAsia="zh-CN"/>
        </w:rPr>
        <w:t>3次</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sz w:val="24"/>
          <w:szCs w:val="24"/>
          <w:highlight w:val="none"/>
          <w:lang w:val="en-US" w:eastAsia="zh-CN"/>
        </w:rPr>
        <w:t>向</w:t>
      </w:r>
      <w:r>
        <w:rPr>
          <w:rFonts w:hint="eastAsia" w:hAnsi="宋体" w:cs="宋体"/>
          <w:strike w:val="0"/>
          <w:dstrike w:val="0"/>
          <w:color w:val="auto"/>
          <w:sz w:val="24"/>
          <w:szCs w:val="24"/>
          <w:highlight w:val="none"/>
          <w:lang w:val="en-US" w:eastAsia="zh-CN"/>
        </w:rPr>
        <w:t>甲方</w:t>
      </w:r>
      <w:r>
        <w:rPr>
          <w:rFonts w:hint="eastAsia" w:ascii="宋体" w:hAnsi="宋体" w:eastAsia="宋体" w:cs="宋体"/>
          <w:strike w:val="0"/>
          <w:dstrike w:val="0"/>
          <w:color w:val="auto"/>
          <w:sz w:val="24"/>
          <w:szCs w:val="24"/>
          <w:highlight w:val="none"/>
          <w:lang w:val="en-US" w:eastAsia="zh-CN"/>
        </w:rPr>
        <w:t>赔偿人民币【</w:t>
      </w:r>
      <w:r>
        <w:rPr>
          <w:rFonts w:hint="eastAsia"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甲方有权单方面解除合同。</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kern w:val="2"/>
          <w:sz w:val="24"/>
          <w:szCs w:val="24"/>
          <w:highlight w:val="none"/>
          <w:lang w:val="en-US" w:eastAsia="zh-CN" w:bidi="ar"/>
        </w:rPr>
        <w:t>交付货物质量未达到约定的标准或无法提供出厂质量检测合格报告或经检测机构检测货物存在质量问题的</w:t>
      </w:r>
      <w:r>
        <w:rPr>
          <w:rFonts w:hint="eastAsia" w:hAnsi="宋体" w:cs="宋体"/>
          <w:strike w:val="0"/>
          <w:dstrike w:val="0"/>
          <w:color w:val="auto"/>
          <w:kern w:val="2"/>
          <w:sz w:val="24"/>
          <w:szCs w:val="24"/>
          <w:highlight w:val="none"/>
          <w:lang w:val="en-US" w:eastAsia="zh-CN" w:bidi="ar"/>
        </w:rPr>
        <w:t>，</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sz w:val="24"/>
          <w:szCs w:val="24"/>
          <w:highlight w:val="none"/>
          <w:lang w:val="en-US" w:eastAsia="zh-CN"/>
        </w:rPr>
        <w:t>向</w:t>
      </w:r>
      <w:r>
        <w:rPr>
          <w:rFonts w:hint="eastAsia" w:hAnsi="宋体" w:cs="宋体"/>
          <w:strike w:val="0"/>
          <w:dstrike w:val="0"/>
          <w:color w:val="auto"/>
          <w:sz w:val="24"/>
          <w:szCs w:val="24"/>
          <w:highlight w:val="none"/>
          <w:lang w:val="en-US" w:eastAsia="zh-CN"/>
        </w:rPr>
        <w:t>甲方</w:t>
      </w:r>
      <w:r>
        <w:rPr>
          <w:rFonts w:hint="eastAsia" w:ascii="宋体" w:hAnsi="宋体" w:eastAsia="宋体" w:cs="宋体"/>
          <w:strike w:val="0"/>
          <w:dstrike w:val="0"/>
          <w:color w:val="auto"/>
          <w:sz w:val="24"/>
          <w:szCs w:val="24"/>
          <w:highlight w:val="none"/>
          <w:lang w:val="en-US" w:eastAsia="zh-CN"/>
        </w:rPr>
        <w:t>赔偿人民币【</w:t>
      </w:r>
      <w:r>
        <w:rPr>
          <w:rFonts w:hint="eastAsia"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lang w:val="en-US" w:eastAsia="zh-CN"/>
        </w:rPr>
        <w:t>累计</w:t>
      </w:r>
      <w:r>
        <w:rPr>
          <w:rFonts w:hint="eastAsia" w:hAnsi="宋体" w:cs="宋体"/>
          <w:strike w:val="0"/>
          <w:dstrike w:val="0"/>
          <w:color w:val="auto"/>
          <w:sz w:val="24"/>
          <w:szCs w:val="24"/>
          <w:highlight w:val="none"/>
          <w:lang w:val="en-US" w:eastAsia="zh-CN"/>
        </w:rPr>
        <w:t>违约</w:t>
      </w:r>
      <w:r>
        <w:rPr>
          <w:rFonts w:hint="eastAsia" w:ascii="宋体" w:hAnsi="宋体" w:eastAsia="宋体" w:cs="宋体"/>
          <w:strike w:val="0"/>
          <w:dstrike w:val="0"/>
          <w:color w:val="auto"/>
          <w:sz w:val="24"/>
          <w:szCs w:val="24"/>
          <w:highlight w:val="none"/>
          <w:lang w:val="en-US" w:eastAsia="zh-CN"/>
        </w:rPr>
        <w:t>3次</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sz w:val="24"/>
          <w:szCs w:val="24"/>
          <w:highlight w:val="none"/>
          <w:lang w:val="en-US" w:eastAsia="zh-CN"/>
        </w:rPr>
        <w:t>向</w:t>
      </w:r>
      <w:r>
        <w:rPr>
          <w:rFonts w:hint="eastAsia" w:hAnsi="宋体" w:cs="宋体"/>
          <w:strike w:val="0"/>
          <w:dstrike w:val="0"/>
          <w:color w:val="auto"/>
          <w:sz w:val="24"/>
          <w:szCs w:val="24"/>
          <w:highlight w:val="none"/>
          <w:lang w:val="en-US" w:eastAsia="zh-CN"/>
        </w:rPr>
        <w:t>甲方</w:t>
      </w:r>
      <w:r>
        <w:rPr>
          <w:rFonts w:hint="eastAsia" w:ascii="宋体" w:hAnsi="宋体" w:eastAsia="宋体" w:cs="宋体"/>
          <w:strike w:val="0"/>
          <w:dstrike w:val="0"/>
          <w:color w:val="auto"/>
          <w:sz w:val="24"/>
          <w:szCs w:val="24"/>
          <w:highlight w:val="none"/>
          <w:lang w:val="en-US" w:eastAsia="zh-CN"/>
        </w:rPr>
        <w:t>赔偿人民币【</w:t>
      </w:r>
      <w:r>
        <w:rPr>
          <w:rFonts w:hint="eastAsia"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val="en-US" w:eastAsia="zh-CN"/>
        </w:rPr>
        <w:t>000元】违约金</w:t>
      </w:r>
      <w:r>
        <w:rPr>
          <w:rFonts w:hint="eastAsia" w:hAnsi="宋体" w:cs="宋体"/>
          <w:strike w:val="0"/>
          <w:dstrike w:val="0"/>
          <w:color w:val="auto"/>
          <w:sz w:val="24"/>
          <w:szCs w:val="24"/>
          <w:highlight w:val="none"/>
          <w:lang w:val="en-US" w:eastAsia="zh-CN"/>
        </w:rPr>
        <w:t>，甲方有权单方面解除合同。</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hAnsi="宋体" w:cs="宋体"/>
          <w:strike w:val="0"/>
          <w:dstrike w:val="0"/>
          <w:color w:val="auto"/>
          <w:sz w:val="24"/>
          <w:szCs w:val="24"/>
          <w:highlight w:val="none"/>
          <w:lang w:val="en-US" w:eastAsia="zh-CN"/>
        </w:rPr>
        <w:t>甲方</w:t>
      </w:r>
      <w:r>
        <w:rPr>
          <w:rFonts w:hint="eastAsia" w:ascii="宋体" w:hAnsi="宋体" w:eastAsia="宋体" w:cs="宋体"/>
          <w:strike w:val="0"/>
          <w:dstrike w:val="0"/>
          <w:color w:val="auto"/>
          <w:sz w:val="24"/>
          <w:szCs w:val="24"/>
          <w:highlight w:val="none"/>
          <w:lang w:val="en-US" w:eastAsia="zh-CN"/>
        </w:rPr>
        <w:t>无正当理由拒绝付款或未按合同约定时间支付结算款项的，</w:t>
      </w:r>
      <w:r>
        <w:rPr>
          <w:rFonts w:hint="eastAsia" w:hAnsi="宋体" w:cs="宋体"/>
          <w:strike w:val="0"/>
          <w:dstrike w:val="0"/>
          <w:color w:val="auto"/>
          <w:sz w:val="24"/>
          <w:szCs w:val="24"/>
          <w:highlight w:val="none"/>
          <w:lang w:val="en-US" w:eastAsia="zh-CN"/>
        </w:rPr>
        <w:t>甲方</w:t>
      </w:r>
      <w:r>
        <w:rPr>
          <w:rFonts w:hint="eastAsia" w:ascii="宋体" w:hAnsi="宋体" w:eastAsia="宋体" w:cs="宋体"/>
          <w:strike w:val="0"/>
          <w:dstrike w:val="0"/>
          <w:color w:val="auto"/>
          <w:sz w:val="24"/>
          <w:szCs w:val="24"/>
          <w:highlight w:val="none"/>
          <w:lang w:val="en-US" w:eastAsia="zh-CN"/>
        </w:rPr>
        <w:t>按应付未付结算款项的10%向</w:t>
      </w:r>
      <w:r>
        <w:rPr>
          <w:rFonts w:hint="eastAsia" w:hAnsi="宋体" w:cs="宋体"/>
          <w:strike w:val="0"/>
          <w:dstrike w:val="0"/>
          <w:color w:val="auto"/>
          <w:sz w:val="24"/>
          <w:szCs w:val="24"/>
          <w:highlight w:val="none"/>
          <w:lang w:val="en-US" w:eastAsia="zh-CN"/>
        </w:rPr>
        <w:t>乙方</w:t>
      </w:r>
      <w:r>
        <w:rPr>
          <w:rFonts w:hint="eastAsia" w:ascii="宋体" w:hAnsi="宋体" w:eastAsia="宋体" w:cs="宋体"/>
          <w:strike w:val="0"/>
          <w:dstrike w:val="0"/>
          <w:color w:val="auto"/>
          <w:sz w:val="24"/>
          <w:szCs w:val="24"/>
          <w:highlight w:val="none"/>
          <w:lang w:val="en-US" w:eastAsia="zh-CN"/>
        </w:rPr>
        <w:t>支付违约金。</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hAnsi="宋体" w:cs="宋体"/>
          <w:b/>
          <w:color w:val="auto"/>
          <w:sz w:val="24"/>
          <w:szCs w:val="24"/>
          <w:lang w:val="en-US" w:eastAsia="zh-CN"/>
        </w:rPr>
        <w:t>九</w:t>
      </w:r>
      <w:r>
        <w:rPr>
          <w:rFonts w:hint="eastAsia" w:ascii="宋体" w:hAnsi="宋体" w:eastAsia="宋体" w:cs="宋体"/>
          <w:b/>
          <w:color w:val="auto"/>
          <w:sz w:val="24"/>
          <w:szCs w:val="24"/>
          <w:lang w:val="en-US" w:eastAsia="zh-CN"/>
        </w:rPr>
        <w:t>、安全与环境保护</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甲乙双方须确保在购销、运输、存储、加工、使用等过程中，遵守质量、安全、环境与健康等法律法规的有关要求，并承担质量、安全、环境与健康责任。乙方销售、运输等过程中，应满足化学品运输管理规定。</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十、税费</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十</w:t>
      </w:r>
      <w:r>
        <w:rPr>
          <w:rFonts w:hint="eastAsia" w:hAnsi="宋体" w:cs="宋体"/>
          <w:b/>
          <w:color w:val="auto"/>
          <w:sz w:val="24"/>
          <w:szCs w:val="24"/>
          <w:lang w:val="en-US" w:eastAsia="zh-CN"/>
        </w:rPr>
        <w:t>一</w:t>
      </w:r>
      <w:r>
        <w:rPr>
          <w:rFonts w:hint="eastAsia" w:ascii="宋体" w:hAnsi="宋体" w:eastAsia="宋体" w:cs="宋体"/>
          <w:b/>
          <w:color w:val="auto"/>
          <w:sz w:val="24"/>
          <w:szCs w:val="24"/>
          <w:lang w:val="en-US" w:eastAsia="zh-CN"/>
        </w:rPr>
        <w:t>、争议解决</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凡因本合同引起的或与本合同有关的争议，双方应友好协商解决。协商不成时，双方均同意采用以下向甲方所在地人民法院提起诉讼。</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十</w:t>
      </w:r>
      <w:r>
        <w:rPr>
          <w:rFonts w:hint="eastAsia" w:hAnsi="宋体" w:cs="宋体"/>
          <w:b/>
          <w:color w:val="auto"/>
          <w:sz w:val="24"/>
          <w:szCs w:val="24"/>
          <w:lang w:val="en-US" w:eastAsia="zh-CN"/>
        </w:rPr>
        <w:t>二</w:t>
      </w:r>
      <w:r>
        <w:rPr>
          <w:rFonts w:hint="eastAsia" w:ascii="宋体" w:hAnsi="宋体" w:eastAsia="宋体" w:cs="宋体"/>
          <w:b/>
          <w:color w:val="auto"/>
          <w:sz w:val="24"/>
          <w:szCs w:val="24"/>
          <w:lang w:val="en-US" w:eastAsia="zh-CN"/>
        </w:rPr>
        <w:t xml:space="preserve">、不可抗力 </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十</w:t>
      </w:r>
      <w:r>
        <w:rPr>
          <w:rFonts w:hint="eastAsia" w:hAnsi="宋体" w:cs="宋体"/>
          <w:b/>
          <w:color w:val="auto"/>
          <w:sz w:val="24"/>
          <w:szCs w:val="24"/>
          <w:lang w:val="en-US" w:eastAsia="zh-CN"/>
        </w:rPr>
        <w:t>三</w:t>
      </w:r>
      <w:r>
        <w:rPr>
          <w:rFonts w:hint="eastAsia" w:ascii="宋体" w:hAnsi="宋体" w:eastAsia="宋体" w:cs="宋体"/>
          <w:b/>
          <w:color w:val="auto"/>
          <w:sz w:val="24"/>
          <w:szCs w:val="24"/>
          <w:lang w:eastAsia="zh-CN"/>
        </w:rPr>
        <w:t>、其它</w:t>
      </w:r>
    </w:p>
    <w:p>
      <w:pPr>
        <w:keepNext w:val="0"/>
        <w:keepLines w:val="0"/>
        <w:pageBreakBefore w:val="0"/>
        <w:kinsoku/>
        <w:wordWrap/>
        <w:overflowPunct/>
        <w:topLinePunct w:val="0"/>
        <w:autoSpaceDE/>
        <w:autoSpaceDN/>
        <w:bidi w:val="0"/>
        <w:adjustRightInd/>
        <w:snapToGrid/>
        <w:spacing w:before="120" w:line="460" w:lineRule="exact"/>
        <w:ind w:right="-11" w:firstLine="480" w:firstLineChars="200"/>
        <w:contextualSpacing/>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如甲乙任何一方在合同有效期限内欲提前解除本合同，均应提前一个月书面通知对方，双方协商签订合同解除协议。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本合同未尽事宜，参见本项目</w:t>
      </w:r>
      <w:r>
        <w:rPr>
          <w:rFonts w:hint="eastAsia" w:hAnsi="宋体" w:cs="宋体"/>
          <w:color w:val="auto"/>
          <w:sz w:val="24"/>
          <w:szCs w:val="24"/>
          <w:lang w:eastAsia="zh-CN"/>
        </w:rPr>
        <w:t>谈判文件</w:t>
      </w: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综合评选应答文件</w:t>
      </w:r>
      <w:r>
        <w:rPr>
          <w:rFonts w:hint="eastAsia" w:ascii="宋体" w:hAnsi="宋体" w:eastAsia="宋体" w:cs="宋体"/>
          <w:color w:val="auto"/>
          <w:sz w:val="24"/>
          <w:szCs w:val="24"/>
        </w:rPr>
        <w:t>中所作的各项承诺，</w:t>
      </w:r>
      <w:r>
        <w:rPr>
          <w:rFonts w:hint="eastAsia" w:hAnsi="宋体" w:cs="宋体"/>
          <w:color w:val="auto"/>
          <w:sz w:val="24"/>
          <w:szCs w:val="24"/>
          <w:lang w:eastAsia="zh-CN"/>
        </w:rPr>
        <w:t>谈判文件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综合评选应答文件</w:t>
      </w:r>
      <w:r>
        <w:rPr>
          <w:rFonts w:hint="eastAsia" w:ascii="宋体" w:hAnsi="宋体" w:eastAsia="宋体" w:cs="宋体"/>
          <w:color w:val="auto"/>
          <w:sz w:val="24"/>
          <w:szCs w:val="24"/>
        </w:rPr>
        <w:t>与本合同具有同等的法律效力。</w:t>
      </w:r>
    </w:p>
    <w:p>
      <w:pPr>
        <w:keepNext w:val="0"/>
        <w:keepLines w:val="0"/>
        <w:pageBreakBefore w:val="0"/>
        <w:tabs>
          <w:tab w:val="left" w:pos="6360"/>
        </w:tabs>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在执行本合同的过程中，所有经双方签署确认的文件（包括会议纪要、补充协议、往来信函）即成为本合同的有效组成部分。</w:t>
      </w:r>
    </w:p>
    <w:p>
      <w:pPr>
        <w:keepNext w:val="0"/>
        <w:keepLines w:val="0"/>
        <w:pageBreakBefore w:val="0"/>
        <w:tabs>
          <w:tab w:val="left" w:pos="6360"/>
        </w:tabs>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本合同和</w:t>
      </w:r>
      <w:r>
        <w:rPr>
          <w:rFonts w:hint="eastAsia" w:hAnsi="宋体" w:cs="宋体"/>
          <w:color w:val="auto"/>
          <w:sz w:val="24"/>
          <w:szCs w:val="24"/>
          <w:lang w:eastAsia="zh-CN"/>
        </w:rPr>
        <w:t>谈判文件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综合评选应答文件</w:t>
      </w:r>
      <w:r>
        <w:rPr>
          <w:rFonts w:hint="eastAsia" w:ascii="宋体" w:hAnsi="宋体" w:eastAsia="宋体" w:cs="宋体"/>
          <w:color w:val="auto"/>
          <w:sz w:val="24"/>
          <w:szCs w:val="24"/>
        </w:rPr>
        <w:t>关于产品质量的要求相矛盾的，以其中要求较高的为准。</w:t>
      </w:r>
    </w:p>
    <w:p>
      <w:pPr>
        <w:keepNext w:val="0"/>
        <w:keepLines w:val="0"/>
        <w:pageBreakBefore w:val="0"/>
        <w:tabs>
          <w:tab w:val="left" w:pos="6360"/>
        </w:tabs>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本合同未尽事宜，由双方协商处理。另行签订《补充协议》，《补充协议》与本合同不一致或有出入的，以《补充协议》为准。</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color w:val="auto"/>
          <w:sz w:val="24"/>
          <w:szCs w:val="24"/>
          <w:lang w:val="zh-CN" w:eastAsia="zh-CN"/>
        </w:rPr>
      </w:pPr>
      <w:r>
        <w:rPr>
          <w:rFonts w:hint="eastAsia" w:ascii="宋体" w:hAnsi="宋体" w:eastAsia="宋体" w:cs="宋体"/>
          <w:b/>
          <w:color w:val="auto"/>
          <w:sz w:val="24"/>
          <w:szCs w:val="24"/>
          <w:lang w:val="zh-CN" w:eastAsia="zh-CN"/>
        </w:rPr>
        <w:t>十</w:t>
      </w:r>
      <w:r>
        <w:rPr>
          <w:rFonts w:hint="eastAsia" w:hAnsi="宋体" w:cs="宋体"/>
          <w:b/>
          <w:color w:val="auto"/>
          <w:sz w:val="24"/>
          <w:szCs w:val="24"/>
          <w:lang w:val="en-US" w:eastAsia="zh-CN"/>
        </w:rPr>
        <w:t>四</w:t>
      </w:r>
      <w:r>
        <w:rPr>
          <w:rFonts w:hint="eastAsia" w:ascii="宋体" w:hAnsi="宋体" w:eastAsia="宋体" w:cs="宋体"/>
          <w:b/>
          <w:color w:val="auto"/>
          <w:sz w:val="24"/>
          <w:szCs w:val="24"/>
          <w:lang w:val="zh-CN" w:eastAsia="zh-CN"/>
        </w:rPr>
        <w:t>、合同生效</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本合同在甲乙双方法人代表或其授权代表签字盖章后生效。</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合同一式陆份，甲方肆份，乙方贰份，均具有同等法律效力。</w:t>
      </w:r>
    </w:p>
    <w:p>
      <w:pPr>
        <w:pageBreakBefore w:val="0"/>
        <w:tabs>
          <w:tab w:val="left" w:pos="6360"/>
        </w:tabs>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Theme="minorEastAsia" w:hAnsiTheme="minorEastAsia" w:eastAsiaTheme="minorEastAsia" w:cstheme="minorEastAsia"/>
          <w:color w:val="auto"/>
          <w:sz w:val="24"/>
          <w:szCs w:val="24"/>
          <w:lang w:val="zh-CN" w:eastAsia="zh-CN"/>
        </w:rPr>
      </w:pPr>
    </w:p>
    <w:p>
      <w:pPr>
        <w:pageBreakBefore w:val="0"/>
        <w:tabs>
          <w:tab w:val="left" w:pos="6360"/>
        </w:tabs>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pStyle w:val="2"/>
        <w:rPr>
          <w:rFonts w:hint="eastAsia" w:asciiTheme="minorEastAsia" w:hAnsiTheme="minorEastAsia" w:eastAsiaTheme="minorEastAsia" w:cstheme="minorEastAsia"/>
          <w:color w:val="auto"/>
          <w:sz w:val="24"/>
          <w:szCs w:val="24"/>
          <w:lang w:val="zh-CN" w:eastAsia="zh-CN"/>
        </w:rPr>
      </w:pPr>
    </w:p>
    <w:p>
      <w:pPr>
        <w:pStyle w:val="2"/>
        <w:rPr>
          <w:rFonts w:hint="eastAsia" w:asciiTheme="minorEastAsia" w:hAnsiTheme="minorEastAsia" w:eastAsiaTheme="minorEastAsia" w:cstheme="minorEastAsia"/>
          <w:color w:val="auto"/>
          <w:sz w:val="24"/>
          <w:szCs w:val="24"/>
          <w:lang w:val="zh-CN" w:eastAsia="zh-CN"/>
        </w:rPr>
      </w:pPr>
    </w:p>
    <w:p>
      <w:pPr>
        <w:pStyle w:val="2"/>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kinsoku/>
        <w:overflowPunct/>
        <w:topLinePunct w:val="0"/>
        <w:bidi w:val="0"/>
        <w:outlineLvl w:val="9"/>
        <w:rPr>
          <w:rFonts w:hint="eastAsia" w:asciiTheme="minorEastAsia" w:hAnsiTheme="minorEastAsia" w:eastAsiaTheme="minorEastAsia" w:cstheme="minorEastAsia"/>
          <w:color w:val="auto"/>
          <w:sz w:val="24"/>
          <w:szCs w:val="24"/>
          <w:lang w:val="zh-CN" w:eastAsia="zh-CN"/>
        </w:rPr>
      </w:pPr>
    </w:p>
    <w:p>
      <w:pPr>
        <w:pStyle w:val="3"/>
        <w:rPr>
          <w:rFonts w:hint="eastAsia"/>
          <w:color w:val="auto"/>
          <w:lang w:val="zh-CN" w:eastAsia="zh-CN"/>
        </w:rPr>
      </w:pPr>
    </w:p>
    <w:p>
      <w:pPr>
        <w:kinsoku/>
        <w:overflowPunct/>
        <w:topLinePunct w:val="0"/>
        <w:bidi w:val="0"/>
        <w:jc w:val="center"/>
        <w:outlineLvl w:val="9"/>
        <w:rPr>
          <w:rFonts w:hint="eastAsia"/>
          <w:color w:val="auto"/>
          <w:lang w:val="zh-CN" w:eastAsia="zh-CN"/>
        </w:rPr>
      </w:pPr>
      <w:r>
        <w:rPr>
          <w:rFonts w:hint="eastAsia" w:asciiTheme="minorEastAsia" w:hAnsiTheme="minorEastAsia" w:eastAsiaTheme="minorEastAsia" w:cstheme="minorEastAsia"/>
          <w:color w:val="auto"/>
          <w:sz w:val="24"/>
          <w:szCs w:val="24"/>
          <w:lang w:val="zh-CN" w:eastAsia="zh-CN"/>
        </w:rPr>
        <w:t>（此页无正文）</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甲方（盖章）：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法定代表人：</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签定日期：      年   月   日</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 xml:space="preserve">开户名称：南方医科大学第七附属医院（佛山市南海区第三人民医院）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开 户 行：工行佛山南海里水支行</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银行账号：2013023419200187301</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乙方（盖章）：</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 xml:space="preserve">法定代表人：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签定日期：   年   月   日</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开户名称：</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 xml:space="preserve">银行帐号： </w:t>
      </w:r>
    </w:p>
    <w:p>
      <w:pPr>
        <w:keepNext w:val="0"/>
        <w:keepLines w:val="0"/>
        <w:pageBreakBefore w:val="0"/>
        <w:widowControl/>
        <w:kinsoku/>
        <w:wordWrap/>
        <w:overflowPunct/>
        <w:topLinePunct w:val="0"/>
        <w:autoSpaceDE/>
        <w:autoSpaceDN/>
        <w:bidi w:val="0"/>
        <w:adjustRightInd/>
        <w:snapToGrid/>
        <w:spacing w:line="460" w:lineRule="exact"/>
        <w:ind w:firstLine="480" w:firstLineChars="200"/>
        <w:contextualSpacing/>
        <w:textAlignment w:val="auto"/>
        <w:outlineLvl w:val="9"/>
        <w:rPr>
          <w:rFonts w:hint="eastAsia" w:ascii="仿宋_GB2312" w:eastAsia="仿宋_GB2312"/>
          <w:color w:val="auto"/>
          <w:sz w:val="30"/>
          <w:szCs w:val="30"/>
          <w:highlight w:val="none"/>
        </w:rPr>
      </w:pPr>
      <w:r>
        <w:rPr>
          <w:rFonts w:hint="eastAsia" w:ascii="宋体" w:hAnsi="宋体" w:eastAsia="宋体" w:cs="Times New Roman"/>
          <w:color w:val="auto"/>
          <w:sz w:val="24"/>
          <w:szCs w:val="24"/>
          <w:highlight w:val="none"/>
          <w:lang w:val="zh-CN" w:eastAsia="zh-CN"/>
        </w:rPr>
        <w:t xml:space="preserve">开户银行： </w:t>
      </w:r>
    </w:p>
    <w:p>
      <w:pPr>
        <w:pStyle w:val="57"/>
        <w:keepNext w:val="0"/>
        <w:keepLines w:val="0"/>
        <w:pageBreakBefore w:val="0"/>
        <w:kinsoku/>
        <w:wordWrap/>
        <w:overflowPunct/>
        <w:topLinePunct w:val="0"/>
        <w:bidi w:val="0"/>
        <w:snapToGrid/>
        <w:spacing w:line="460" w:lineRule="exact"/>
        <w:textAlignment w:val="auto"/>
        <w:outlineLvl w:val="9"/>
        <w:rPr>
          <w:rFonts w:hint="eastAsia" w:ascii="仿宋_GB2312" w:eastAsia="仿宋_GB2312"/>
          <w:color w:val="auto"/>
          <w:sz w:val="30"/>
          <w:szCs w:val="30"/>
          <w:highlight w:val="none"/>
        </w:rPr>
      </w:pPr>
    </w:p>
    <w:p>
      <w:pPr>
        <w:pStyle w:val="10"/>
        <w:kinsoku/>
        <w:overflowPunct/>
        <w:topLinePunct w:val="0"/>
        <w:bidi w:val="0"/>
        <w:outlineLvl w:val="9"/>
        <w:rPr>
          <w:rFonts w:hint="eastAsia" w:ascii="仿宋_GB2312" w:eastAsia="仿宋_GB2312"/>
          <w:color w:val="auto"/>
          <w:sz w:val="30"/>
          <w:szCs w:val="30"/>
          <w:highlight w:val="none"/>
        </w:rPr>
      </w:pPr>
    </w:p>
    <w:bookmarkEnd w:id="44"/>
    <w:bookmarkEnd w:id="45"/>
    <w:p>
      <w:pPr>
        <w:keepNext/>
        <w:keepLines/>
        <w:pageBreakBefore/>
        <w:widowControl w:val="0"/>
        <w:kinsoku/>
        <w:wordWrap/>
        <w:overflowPunct/>
        <w:topLinePunct w:val="0"/>
        <w:autoSpaceDE w:val="0"/>
        <w:autoSpaceDN w:val="0"/>
        <w:bidi w:val="0"/>
        <w:adjustRightInd w:val="0"/>
        <w:snapToGrid/>
        <w:spacing w:line="460" w:lineRule="exact"/>
        <w:jc w:val="center"/>
        <w:textAlignment w:val="auto"/>
        <w:outlineLvl w:val="0"/>
        <w:rPr>
          <w:rFonts w:hAnsi="宋体"/>
          <w:b/>
          <w:bCs/>
          <w:color w:val="auto"/>
          <w:kern w:val="44"/>
          <w:sz w:val="32"/>
          <w:szCs w:val="32"/>
          <w:lang w:val="zh-CN"/>
        </w:rPr>
      </w:pPr>
      <w:bookmarkStart w:id="46" w:name="_Toc382840848"/>
      <w:bookmarkStart w:id="47" w:name="_Toc382926900"/>
      <w:bookmarkStart w:id="48" w:name="_Toc12501"/>
      <w:r>
        <w:rPr>
          <w:rFonts w:hint="eastAsia" w:hAnsi="宋体"/>
          <w:b/>
          <w:bCs/>
          <w:color w:val="auto"/>
          <w:kern w:val="44"/>
          <w:sz w:val="32"/>
          <w:szCs w:val="32"/>
          <w:lang w:val="zh-CN"/>
        </w:rPr>
        <w:br w:type="textWrapping"/>
      </w:r>
      <w:r>
        <w:rPr>
          <w:rFonts w:hint="eastAsia" w:hAnsi="宋体"/>
          <w:b/>
          <w:bCs/>
          <w:color w:val="auto"/>
          <w:kern w:val="44"/>
          <w:sz w:val="32"/>
          <w:szCs w:val="32"/>
          <w:lang w:val="zh-CN"/>
        </w:rPr>
        <w:t>第六篇　响应文件格式</w:t>
      </w:r>
      <w:bookmarkEnd w:id="46"/>
      <w:bookmarkEnd w:id="47"/>
      <w:bookmarkEnd w:id="48"/>
    </w:p>
    <w:p>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center"/>
        <w:textAlignment w:val="auto"/>
        <w:outlineLvl w:val="9"/>
        <w:rPr>
          <w:rFonts w:hAnsi="宋体"/>
          <w:b/>
          <w:color w:val="auto"/>
          <w:sz w:val="24"/>
          <w:szCs w:val="24"/>
          <w:u w:val="single"/>
        </w:rPr>
      </w:pPr>
      <w:r>
        <w:rPr>
          <w:rFonts w:hint="eastAsia" w:hAnsi="宋体"/>
          <w:b/>
          <w:color w:val="auto"/>
          <w:sz w:val="24"/>
          <w:szCs w:val="24"/>
          <w:u w:val="single"/>
          <w:lang w:eastAsia="zh-CN"/>
        </w:rPr>
        <w:t>（</w:t>
      </w:r>
      <w:r>
        <w:rPr>
          <w:rFonts w:hint="eastAsia" w:hAnsi="宋体"/>
          <w:b/>
          <w:color w:val="auto"/>
          <w:sz w:val="24"/>
          <w:szCs w:val="24"/>
          <w:u w:val="single"/>
        </w:rPr>
        <w:t>请按</w:t>
      </w:r>
      <w:r>
        <w:rPr>
          <w:rFonts w:hint="eastAsia" w:hAnsi="宋体"/>
          <w:b/>
          <w:bCs/>
          <w:color w:val="auto"/>
          <w:sz w:val="24"/>
          <w:szCs w:val="24"/>
          <w:u w:val="single"/>
          <w:lang w:eastAsia="zh-CN"/>
        </w:rPr>
        <w:t>响应文件</w:t>
      </w:r>
      <w:r>
        <w:rPr>
          <w:rFonts w:hint="eastAsia" w:hAnsi="宋体"/>
          <w:b/>
          <w:bCs/>
          <w:color w:val="auto"/>
          <w:sz w:val="24"/>
          <w:szCs w:val="24"/>
          <w:u w:val="single"/>
        </w:rPr>
        <w:t>编制的</w:t>
      </w:r>
      <w:r>
        <w:rPr>
          <w:rFonts w:hint="eastAsia" w:hAnsi="宋体"/>
          <w:b/>
          <w:color w:val="auto"/>
          <w:sz w:val="24"/>
          <w:szCs w:val="24"/>
          <w:u w:val="single"/>
        </w:rPr>
        <w:t>顺序和以下要求格式制作</w:t>
      </w:r>
      <w:r>
        <w:rPr>
          <w:rFonts w:hint="eastAsia" w:hAnsi="宋体"/>
          <w:b/>
          <w:color w:val="auto"/>
          <w:sz w:val="24"/>
          <w:szCs w:val="24"/>
          <w:u w:val="single"/>
          <w:lang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outlineLvl w:val="9"/>
        <w:rPr>
          <w:rFonts w:hAnsi="宋体"/>
          <w:b/>
          <w:bCs w:val="0"/>
          <w:color w:val="auto"/>
          <w:sz w:val="24"/>
          <w:szCs w:val="24"/>
          <w:u w:val="none"/>
          <w:lang w:val="zh-CN"/>
        </w:rPr>
      </w:pPr>
      <w:r>
        <w:rPr>
          <w:rFonts w:hint="eastAsia" w:hAnsi="宋体"/>
          <w:b/>
          <w:bCs w:val="0"/>
          <w:color w:val="auto"/>
          <w:sz w:val="24"/>
          <w:szCs w:val="24"/>
          <w:u w:val="none"/>
          <w:lang w:val="zh-CN"/>
        </w:rPr>
        <w:t>第一节、自查表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outlineLvl w:val="9"/>
        <w:rPr>
          <w:rFonts w:hAnsi="宋体"/>
          <w:b/>
          <w:bCs w:val="0"/>
          <w:color w:val="auto"/>
          <w:kern w:val="2"/>
          <w:sz w:val="24"/>
          <w:szCs w:val="24"/>
          <w:u w:val="none"/>
        </w:rPr>
      </w:pPr>
      <w:r>
        <w:rPr>
          <w:rFonts w:hint="eastAsia" w:hAnsi="宋体"/>
          <w:b/>
          <w:bCs w:val="0"/>
          <w:color w:val="auto"/>
          <w:sz w:val="24"/>
          <w:szCs w:val="24"/>
          <w:u w:val="none"/>
          <w:lang w:val="zh-CN"/>
        </w:rPr>
        <w:t>第二节、</w:t>
      </w:r>
      <w:r>
        <w:rPr>
          <w:rFonts w:hint="eastAsia" w:hAnsi="宋体"/>
          <w:b/>
          <w:bCs w:val="0"/>
          <w:color w:val="auto"/>
          <w:kern w:val="2"/>
          <w:sz w:val="24"/>
          <w:szCs w:val="24"/>
          <w:u w:val="none"/>
          <w:lang w:val="zh-CN"/>
        </w:rPr>
        <w:t>商务部分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附表2.1   报价函格式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附表2.2.1 资格声明书格式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附表2.2.2 法定代表人证明书格式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附表2.2.3 法定代表人授权书格式（有被授权人时适用）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lang w:eastAsia="zh-CN"/>
        </w:rPr>
        <w:t>响应供应商</w:t>
      </w:r>
      <w:r>
        <w:rPr>
          <w:rFonts w:hint="eastAsia" w:hAnsi="宋体"/>
          <w:color w:val="auto"/>
          <w:sz w:val="24"/>
          <w:szCs w:val="24"/>
        </w:rPr>
        <w:t>的相关资格证明资料复印件（加盖</w:t>
      </w:r>
      <w:r>
        <w:rPr>
          <w:rFonts w:hint="eastAsia" w:hAnsi="宋体"/>
          <w:color w:val="auto"/>
          <w:sz w:val="24"/>
          <w:szCs w:val="24"/>
          <w:lang w:eastAsia="zh-CN"/>
        </w:rPr>
        <w:t>响应供应商</w:t>
      </w:r>
      <w:r>
        <w:rPr>
          <w:rFonts w:hint="eastAsia" w:hAnsi="宋体"/>
          <w:color w:val="auto"/>
          <w:sz w:val="24"/>
          <w:szCs w:val="24"/>
        </w:rPr>
        <w:t>法人公章），其中包括：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A、证明</w:t>
      </w:r>
      <w:r>
        <w:rPr>
          <w:rFonts w:hint="eastAsia" w:hAnsi="宋体"/>
          <w:color w:val="auto"/>
          <w:sz w:val="24"/>
          <w:szCs w:val="24"/>
          <w:lang w:eastAsia="zh-CN"/>
        </w:rPr>
        <w:t>响应供应商</w:t>
      </w:r>
      <w:r>
        <w:rPr>
          <w:rFonts w:hint="eastAsia" w:hAnsi="宋体"/>
          <w:color w:val="auto"/>
          <w:sz w:val="24"/>
          <w:szCs w:val="24"/>
        </w:rPr>
        <w:t>的合格性的证明文件，详见《报价须知前附表》；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 xml:space="preserve">B. </w:t>
      </w:r>
      <w:r>
        <w:rPr>
          <w:rFonts w:hint="eastAsia" w:hAnsi="宋体"/>
          <w:color w:val="auto"/>
          <w:sz w:val="24"/>
          <w:szCs w:val="24"/>
          <w:lang w:eastAsia="zh-CN"/>
        </w:rPr>
        <w:t>响应供应商</w:t>
      </w:r>
      <w:r>
        <w:rPr>
          <w:rFonts w:hint="eastAsia" w:hAnsi="宋体"/>
          <w:color w:val="auto"/>
          <w:sz w:val="24"/>
          <w:szCs w:val="24"/>
        </w:rPr>
        <w:t>所必须符合满足条件，详见《报价须知前附表》；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C. 其他资格证明资料（不限于《第</w:t>
      </w:r>
      <w:r>
        <w:rPr>
          <w:rFonts w:hint="eastAsia" w:hAnsi="宋体"/>
          <w:color w:val="auto"/>
          <w:sz w:val="24"/>
          <w:szCs w:val="24"/>
          <w:lang w:eastAsia="zh-CN"/>
        </w:rPr>
        <w:t>三</w:t>
      </w:r>
      <w:r>
        <w:rPr>
          <w:rFonts w:hint="eastAsia" w:hAnsi="宋体"/>
          <w:color w:val="auto"/>
          <w:sz w:val="24"/>
          <w:szCs w:val="24"/>
        </w:rPr>
        <w:t>篇 用户需求书》内容）（如有）；</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 xml:space="preserve">附表2.3   </w:t>
      </w:r>
      <w:r>
        <w:rPr>
          <w:rFonts w:hint="eastAsia" w:hAnsi="宋体"/>
          <w:color w:val="auto"/>
          <w:sz w:val="24"/>
          <w:szCs w:val="24"/>
          <w:lang w:eastAsia="zh-CN"/>
        </w:rPr>
        <w:t>响应保证金</w:t>
      </w:r>
      <w:r>
        <w:rPr>
          <w:rFonts w:hint="eastAsia" w:hAnsi="宋体"/>
          <w:color w:val="auto"/>
          <w:sz w:val="24"/>
          <w:szCs w:val="24"/>
        </w:rPr>
        <w:t>缴纳情况说明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 xml:space="preserve">附表2.4.1 </w:t>
      </w:r>
      <w:r>
        <w:rPr>
          <w:rFonts w:hint="eastAsia" w:hAnsi="宋体"/>
          <w:color w:val="auto"/>
          <w:sz w:val="24"/>
          <w:szCs w:val="24"/>
          <w:lang w:eastAsia="zh-CN"/>
        </w:rPr>
        <w:t>响应供应商</w:t>
      </w:r>
      <w:r>
        <w:rPr>
          <w:rFonts w:hint="eastAsia" w:hAnsi="宋体"/>
          <w:color w:val="auto"/>
          <w:sz w:val="24"/>
          <w:szCs w:val="24"/>
        </w:rPr>
        <w:t>基本情况表格式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附表2.4.2 合同条款响应程度（合同条款偏离表）格式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附表2.5   成交服务费承诺书格式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附表2.6   退还保证金声明格式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附表2.7   项目管理架构格式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附表2.8   实质性响应</w:t>
      </w:r>
      <w:r>
        <w:rPr>
          <w:rFonts w:hint="eastAsia" w:hAnsi="宋体"/>
          <w:color w:val="auto"/>
          <w:sz w:val="24"/>
          <w:szCs w:val="24"/>
          <w:lang w:eastAsia="zh-CN"/>
        </w:rPr>
        <w:t>采购需求</w:t>
      </w:r>
      <w:r>
        <w:rPr>
          <w:rFonts w:hint="eastAsia" w:hAnsi="宋体"/>
          <w:color w:val="auto"/>
          <w:sz w:val="24"/>
          <w:szCs w:val="24"/>
        </w:rPr>
        <w:t>条款响应表格式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附表2.9   一般商务条款响应表格式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outlineLvl w:val="9"/>
        <w:rPr>
          <w:rFonts w:hint="eastAsia" w:ascii="宋体" w:hAnsi="宋体" w:eastAsia="宋体" w:cs="Times New Roman"/>
          <w:b/>
          <w:bCs w:val="0"/>
          <w:color w:val="auto"/>
          <w:sz w:val="24"/>
          <w:szCs w:val="24"/>
          <w:u w:val="none"/>
          <w:lang w:val="zh-CN"/>
        </w:rPr>
      </w:pPr>
      <w:r>
        <w:rPr>
          <w:rFonts w:hint="eastAsia" w:ascii="宋体" w:hAnsi="宋体" w:eastAsia="宋体" w:cs="Times New Roman"/>
          <w:b/>
          <w:bCs w:val="0"/>
          <w:color w:val="auto"/>
          <w:sz w:val="24"/>
          <w:szCs w:val="24"/>
          <w:u w:val="none"/>
          <w:lang w:val="zh-CN" w:eastAsia="zh-CN"/>
        </w:rPr>
        <w:t>第三节</w:t>
      </w:r>
      <w:r>
        <w:rPr>
          <w:rFonts w:hint="eastAsia" w:ascii="宋体" w:hAnsi="宋体" w:eastAsia="宋体" w:cs="Times New Roman"/>
          <w:b/>
          <w:bCs w:val="0"/>
          <w:color w:val="auto"/>
          <w:sz w:val="24"/>
          <w:szCs w:val="24"/>
          <w:u w:val="none"/>
          <w:lang w:val="en-US" w:eastAsia="zh-CN"/>
        </w:rPr>
        <w:t xml:space="preserve"> </w:t>
      </w:r>
      <w:r>
        <w:rPr>
          <w:rFonts w:hint="eastAsia" w:ascii="宋体" w:hAnsi="宋体" w:eastAsia="宋体" w:cs="Times New Roman"/>
          <w:b/>
          <w:bCs w:val="0"/>
          <w:color w:val="auto"/>
          <w:sz w:val="24"/>
          <w:szCs w:val="24"/>
          <w:u w:val="none"/>
          <w:lang w:val="zh-CN"/>
        </w:rPr>
        <w:t>技术部分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hAnsi="宋体"/>
          <w:color w:val="auto"/>
          <w:sz w:val="24"/>
          <w:szCs w:val="24"/>
        </w:rPr>
      </w:pPr>
      <w:r>
        <w:rPr>
          <w:rFonts w:hint="eastAsia" w:hAnsi="宋体"/>
          <w:color w:val="auto"/>
          <w:sz w:val="24"/>
          <w:szCs w:val="24"/>
        </w:rPr>
        <w:t>附表3.1 实施方案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hAnsi="宋体"/>
          <w:color w:val="auto"/>
          <w:sz w:val="24"/>
          <w:szCs w:val="24"/>
        </w:rPr>
      </w:pPr>
      <w:r>
        <w:rPr>
          <w:rFonts w:hint="eastAsia" w:hAnsi="宋体"/>
          <w:color w:val="auto"/>
          <w:sz w:val="24"/>
          <w:szCs w:val="24"/>
        </w:rPr>
        <w:t>附表3.2 应急服务保障能力格式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hAnsi="宋体"/>
          <w:color w:val="auto"/>
          <w:sz w:val="24"/>
          <w:szCs w:val="24"/>
        </w:rPr>
      </w:pPr>
      <w:r>
        <w:rPr>
          <w:rFonts w:hint="eastAsia" w:hAnsi="宋体"/>
          <w:color w:val="auto"/>
          <w:sz w:val="24"/>
          <w:szCs w:val="24"/>
        </w:rPr>
        <w:t>附表3.3 采购人配合的条件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Ansi="宋体"/>
          <w:color w:val="auto"/>
          <w:sz w:val="24"/>
          <w:szCs w:val="24"/>
        </w:rPr>
      </w:pPr>
      <w:r>
        <w:rPr>
          <w:rFonts w:hint="eastAsia" w:hAnsi="宋体"/>
          <w:color w:val="auto"/>
          <w:sz w:val="24"/>
          <w:szCs w:val="24"/>
        </w:rPr>
        <w:t>附表3.4 技术规格偏离表格式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outlineLvl w:val="9"/>
        <w:rPr>
          <w:rFonts w:hAnsi="宋体"/>
          <w:b/>
          <w:bCs/>
          <w:color w:val="auto"/>
          <w:sz w:val="24"/>
          <w:szCs w:val="24"/>
        </w:rPr>
      </w:pPr>
      <w:r>
        <w:rPr>
          <w:rFonts w:hint="eastAsia" w:hAnsi="宋体"/>
          <w:b/>
          <w:bCs/>
          <w:color w:val="auto"/>
          <w:sz w:val="24"/>
          <w:szCs w:val="24"/>
          <w:lang w:val="zh-CN"/>
        </w:rPr>
        <w:t>第四节、经济文件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附表4.1  </w:t>
      </w:r>
      <w:r>
        <w:rPr>
          <w:rFonts w:hint="eastAsia" w:hAnsi="宋体" w:cs="Times New Roman"/>
          <w:color w:val="auto"/>
          <w:sz w:val="24"/>
          <w:szCs w:val="24"/>
          <w:lang w:eastAsia="zh-CN"/>
        </w:rPr>
        <w:t>首轮</w:t>
      </w:r>
      <w:r>
        <w:rPr>
          <w:rFonts w:hint="eastAsia" w:ascii="宋体" w:hAnsi="宋体" w:eastAsia="宋体" w:cs="Times New Roman"/>
          <w:color w:val="auto"/>
          <w:sz w:val="24"/>
          <w:szCs w:val="24"/>
        </w:rPr>
        <w:t>报价总表格式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附表4.2  分类报价明细表格式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rPr>
        <w:t>应根据实际情况，按上述内容及顺序编订成册）</w:t>
      </w:r>
      <w:r>
        <w:rPr>
          <w:rFonts w:hint="eastAsia" w:ascii="宋体" w:hAnsi="宋体" w:eastAsia="宋体" w:cs="Times New Roman"/>
          <w:color w:val="auto"/>
          <w:sz w:val="24"/>
          <w:szCs w:val="24"/>
        </w:rPr>
        <w:tab/>
      </w:r>
      <w:bookmarkStart w:id="49" w:name="_Toc273565290"/>
      <w:bookmarkStart w:id="50" w:name="_Toc273565090"/>
    </w:p>
    <w:p>
      <w:pPr>
        <w:kinsoku/>
        <w:overflowPunct/>
        <w:topLinePunct w:val="0"/>
        <w:bidi w:val="0"/>
        <w:outlineLvl w:val="9"/>
        <w:rPr>
          <w:color w:val="auto"/>
        </w:rPr>
      </w:pPr>
      <w:bookmarkStart w:id="51" w:name="_Toc382840849"/>
      <w:bookmarkStart w:id="52" w:name="_Toc382926901"/>
    </w:p>
    <w:p>
      <w:pPr>
        <w:kinsoku/>
        <w:overflowPunct/>
        <w:topLinePunct w:val="0"/>
        <w:bidi w:val="0"/>
        <w:spacing w:after="120" w:line="480" w:lineRule="exact"/>
        <w:jc w:val="center"/>
        <w:outlineLvl w:val="9"/>
        <w:rPr>
          <w:rFonts w:hAnsi="宋体"/>
          <w:b/>
          <w:color w:val="auto"/>
          <w:sz w:val="28"/>
          <w:szCs w:val="28"/>
        </w:rPr>
      </w:pPr>
      <w:r>
        <w:rPr>
          <w:rFonts w:hint="eastAsia" w:hAnsi="宋体"/>
          <w:b/>
          <w:color w:val="auto"/>
          <w:sz w:val="28"/>
          <w:szCs w:val="28"/>
        </w:rPr>
        <w:t>第一节 自查表</w:t>
      </w:r>
      <w:bookmarkEnd w:id="51"/>
      <w:bookmarkEnd w:id="52"/>
    </w:p>
    <w:p>
      <w:pPr>
        <w:kinsoku/>
        <w:overflowPunct/>
        <w:topLinePunct w:val="0"/>
        <w:bidi w:val="0"/>
        <w:outlineLvl w:val="9"/>
        <w:rPr>
          <w:color w:val="auto"/>
        </w:rPr>
      </w:pPr>
    </w:p>
    <w:tbl>
      <w:tblPr>
        <w:tblStyle w:val="2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4500"/>
        <w:gridCol w:w="1404"/>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268" w:type="dxa"/>
            <w:gridSpan w:val="2"/>
            <w:vAlign w:val="center"/>
          </w:tcPr>
          <w:p>
            <w:pPr>
              <w:kinsoku/>
              <w:overflowPunct/>
              <w:topLinePunct w:val="0"/>
              <w:bidi w:val="0"/>
              <w:ind w:left="-171" w:firstLine="422"/>
              <w:jc w:val="center"/>
              <w:outlineLvl w:val="9"/>
              <w:rPr>
                <w:rFonts w:hAnsi="宋体"/>
                <w:b/>
                <w:bCs/>
                <w:color w:val="auto"/>
                <w:sz w:val="21"/>
                <w:szCs w:val="21"/>
              </w:rPr>
            </w:pPr>
            <w:r>
              <w:rPr>
                <w:rFonts w:hint="eastAsia" w:hAnsi="宋体"/>
                <w:b/>
                <w:bCs/>
                <w:color w:val="auto"/>
                <w:sz w:val="21"/>
                <w:szCs w:val="21"/>
              </w:rPr>
              <w:t>评审内容</w:t>
            </w:r>
          </w:p>
        </w:tc>
        <w:tc>
          <w:tcPr>
            <w:tcW w:w="4500" w:type="dxa"/>
            <w:vAlign w:val="center"/>
          </w:tcPr>
          <w:p>
            <w:pPr>
              <w:kinsoku/>
              <w:overflowPunct/>
              <w:topLinePunct w:val="0"/>
              <w:bidi w:val="0"/>
              <w:ind w:left="-171" w:firstLine="422"/>
              <w:jc w:val="center"/>
              <w:outlineLvl w:val="9"/>
              <w:rPr>
                <w:rFonts w:hAnsi="宋体"/>
                <w:b/>
                <w:bCs/>
                <w:color w:val="auto"/>
                <w:sz w:val="21"/>
                <w:szCs w:val="21"/>
              </w:rPr>
            </w:pPr>
            <w:r>
              <w:rPr>
                <w:rFonts w:hint="eastAsia" w:hAnsi="宋体"/>
                <w:b/>
                <w:bCs/>
                <w:color w:val="auto"/>
                <w:sz w:val="21"/>
                <w:szCs w:val="21"/>
              </w:rPr>
              <w:t>采购文件要求</w:t>
            </w:r>
          </w:p>
        </w:tc>
        <w:tc>
          <w:tcPr>
            <w:tcW w:w="1404" w:type="dxa"/>
            <w:vAlign w:val="center"/>
          </w:tcPr>
          <w:p>
            <w:pPr>
              <w:kinsoku/>
              <w:overflowPunct/>
              <w:topLinePunct w:val="0"/>
              <w:bidi w:val="0"/>
              <w:ind w:left="-171" w:firstLine="422"/>
              <w:jc w:val="center"/>
              <w:outlineLvl w:val="9"/>
              <w:rPr>
                <w:rFonts w:hAnsi="宋体"/>
                <w:b/>
                <w:bCs/>
                <w:color w:val="auto"/>
                <w:sz w:val="21"/>
                <w:szCs w:val="21"/>
              </w:rPr>
            </w:pPr>
            <w:r>
              <w:rPr>
                <w:rFonts w:hint="eastAsia" w:hAnsi="宋体"/>
                <w:b/>
                <w:bCs/>
                <w:color w:val="auto"/>
                <w:sz w:val="21"/>
                <w:szCs w:val="21"/>
              </w:rPr>
              <w:t>自查结论</w:t>
            </w:r>
          </w:p>
        </w:tc>
        <w:tc>
          <w:tcPr>
            <w:tcW w:w="1859" w:type="dxa"/>
            <w:vAlign w:val="center"/>
          </w:tcPr>
          <w:p>
            <w:pPr>
              <w:kinsoku/>
              <w:overflowPunct/>
              <w:topLinePunct w:val="0"/>
              <w:bidi w:val="0"/>
              <w:ind w:left="-171" w:firstLine="422"/>
              <w:jc w:val="center"/>
              <w:outlineLvl w:val="9"/>
              <w:rPr>
                <w:rFonts w:hAnsi="宋体"/>
                <w:b/>
                <w:bCs/>
                <w:color w:val="auto"/>
                <w:sz w:val="21"/>
                <w:szCs w:val="21"/>
              </w:rPr>
            </w:pPr>
            <w:r>
              <w:rPr>
                <w:rFonts w:hint="eastAsia" w:hAnsi="宋体"/>
                <w:b/>
                <w:bCs/>
                <w:color w:val="auto"/>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kinsoku/>
              <w:overflowPunct/>
              <w:topLinePunct w:val="0"/>
              <w:bidi w:val="0"/>
              <w:snapToGrid w:val="0"/>
              <w:spacing w:line="300" w:lineRule="auto"/>
              <w:jc w:val="center"/>
              <w:outlineLvl w:val="9"/>
              <w:rPr>
                <w:rFonts w:hAnsi="宋体"/>
                <w:color w:val="auto"/>
                <w:sz w:val="21"/>
                <w:szCs w:val="21"/>
              </w:rPr>
            </w:pPr>
            <w:r>
              <w:rPr>
                <w:rFonts w:hint="eastAsia" w:hAnsi="宋体"/>
                <w:color w:val="auto"/>
                <w:sz w:val="21"/>
                <w:szCs w:val="21"/>
              </w:rPr>
              <w:t>资格性检查</w:t>
            </w:r>
          </w:p>
        </w:tc>
        <w:tc>
          <w:tcPr>
            <w:tcW w:w="1440" w:type="dxa"/>
            <w:vAlign w:val="center"/>
          </w:tcPr>
          <w:p>
            <w:pPr>
              <w:kinsoku/>
              <w:overflowPunct/>
              <w:topLinePunct w:val="0"/>
              <w:bidi w:val="0"/>
              <w:ind w:left="46" w:leftChars="19"/>
              <w:jc w:val="center"/>
              <w:outlineLvl w:val="9"/>
              <w:rPr>
                <w:rFonts w:hAnsi="宋体"/>
                <w:color w:val="auto"/>
                <w:sz w:val="21"/>
                <w:szCs w:val="21"/>
              </w:rPr>
            </w:pPr>
            <w:r>
              <w:rPr>
                <w:rFonts w:hint="eastAsia" w:hAnsi="宋体"/>
                <w:color w:val="auto"/>
                <w:sz w:val="21"/>
                <w:szCs w:val="21"/>
              </w:rPr>
              <w:t>报价函</w:t>
            </w:r>
          </w:p>
        </w:tc>
        <w:tc>
          <w:tcPr>
            <w:tcW w:w="4500" w:type="dxa"/>
            <w:vAlign w:val="center"/>
          </w:tcPr>
          <w:p>
            <w:pPr>
              <w:kinsoku/>
              <w:overflowPunct/>
              <w:topLinePunct w:val="0"/>
              <w:bidi w:val="0"/>
              <w:ind w:left="46" w:leftChars="19"/>
              <w:jc w:val="both"/>
              <w:outlineLvl w:val="9"/>
              <w:rPr>
                <w:rFonts w:hAnsi="宋体"/>
                <w:color w:val="auto"/>
                <w:sz w:val="21"/>
                <w:szCs w:val="21"/>
              </w:rPr>
            </w:pPr>
            <w:r>
              <w:rPr>
                <w:rFonts w:hint="eastAsia" w:hAnsi="宋体"/>
                <w:color w:val="auto"/>
                <w:sz w:val="21"/>
                <w:szCs w:val="21"/>
              </w:rPr>
              <w:t>按对应格式文件填写、签署、盖章(原件)</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kinsoku/>
              <w:overflowPunct/>
              <w:topLinePunct w:val="0"/>
              <w:bidi w:val="0"/>
              <w:snapToGrid w:val="0"/>
              <w:spacing w:line="300" w:lineRule="auto"/>
              <w:jc w:val="center"/>
              <w:outlineLvl w:val="9"/>
              <w:rPr>
                <w:rFonts w:hAnsi="宋体"/>
                <w:color w:val="auto"/>
                <w:sz w:val="21"/>
                <w:szCs w:val="21"/>
              </w:rPr>
            </w:pPr>
          </w:p>
        </w:tc>
        <w:tc>
          <w:tcPr>
            <w:tcW w:w="1440" w:type="dxa"/>
            <w:vAlign w:val="center"/>
          </w:tcPr>
          <w:p>
            <w:pPr>
              <w:kinsoku/>
              <w:overflowPunct/>
              <w:topLinePunct w:val="0"/>
              <w:bidi w:val="0"/>
              <w:ind w:left="46" w:leftChars="19"/>
              <w:jc w:val="center"/>
              <w:outlineLvl w:val="9"/>
              <w:rPr>
                <w:rFonts w:hAnsi="宋体"/>
                <w:color w:val="auto"/>
                <w:sz w:val="21"/>
                <w:szCs w:val="21"/>
              </w:rPr>
            </w:pPr>
            <w:r>
              <w:rPr>
                <w:rFonts w:hint="eastAsia" w:hAnsi="宋体"/>
                <w:color w:val="auto"/>
                <w:sz w:val="21"/>
                <w:szCs w:val="21"/>
              </w:rPr>
              <w:t>法定代表人/负责人资格证明书及授权委托书</w:t>
            </w:r>
          </w:p>
        </w:tc>
        <w:tc>
          <w:tcPr>
            <w:tcW w:w="4500" w:type="dxa"/>
            <w:vAlign w:val="center"/>
          </w:tcPr>
          <w:p>
            <w:pPr>
              <w:kinsoku/>
              <w:overflowPunct/>
              <w:topLinePunct w:val="0"/>
              <w:bidi w:val="0"/>
              <w:ind w:left="46" w:leftChars="19"/>
              <w:jc w:val="both"/>
              <w:outlineLvl w:val="9"/>
              <w:rPr>
                <w:rFonts w:hAnsi="宋体"/>
                <w:color w:val="auto"/>
                <w:sz w:val="21"/>
                <w:szCs w:val="21"/>
              </w:rPr>
            </w:pPr>
            <w:r>
              <w:rPr>
                <w:rFonts w:hint="eastAsia" w:hAnsi="宋体"/>
                <w:color w:val="auto"/>
                <w:sz w:val="21"/>
                <w:szCs w:val="21"/>
              </w:rPr>
              <w:t>按对应格式文件签署、盖章(原件)</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kinsoku/>
              <w:overflowPunct/>
              <w:topLinePunct w:val="0"/>
              <w:bidi w:val="0"/>
              <w:snapToGrid w:val="0"/>
              <w:spacing w:line="300" w:lineRule="auto"/>
              <w:jc w:val="center"/>
              <w:outlineLvl w:val="9"/>
              <w:rPr>
                <w:rFonts w:hAnsi="宋体"/>
                <w:color w:val="auto"/>
                <w:sz w:val="21"/>
                <w:szCs w:val="21"/>
              </w:rPr>
            </w:pPr>
          </w:p>
        </w:tc>
        <w:tc>
          <w:tcPr>
            <w:tcW w:w="1440" w:type="dxa"/>
            <w:vAlign w:val="center"/>
          </w:tcPr>
          <w:p>
            <w:pPr>
              <w:kinsoku/>
              <w:overflowPunct/>
              <w:topLinePunct w:val="0"/>
              <w:bidi w:val="0"/>
              <w:ind w:left="46" w:leftChars="19"/>
              <w:jc w:val="center"/>
              <w:outlineLvl w:val="9"/>
              <w:rPr>
                <w:rFonts w:hAnsi="宋体"/>
                <w:color w:val="auto"/>
                <w:sz w:val="21"/>
                <w:szCs w:val="21"/>
              </w:rPr>
            </w:pPr>
            <w:r>
              <w:rPr>
                <w:rFonts w:hint="eastAsia" w:hAnsi="宋体"/>
                <w:color w:val="auto"/>
                <w:sz w:val="21"/>
                <w:szCs w:val="21"/>
              </w:rPr>
              <w:t>准入条件(关于资格的声明)</w:t>
            </w:r>
          </w:p>
        </w:tc>
        <w:tc>
          <w:tcPr>
            <w:tcW w:w="4500" w:type="dxa"/>
            <w:vAlign w:val="center"/>
          </w:tcPr>
          <w:p>
            <w:pPr>
              <w:kinsoku/>
              <w:overflowPunct/>
              <w:topLinePunct w:val="0"/>
              <w:bidi w:val="0"/>
              <w:ind w:left="46" w:leftChars="19"/>
              <w:jc w:val="both"/>
              <w:outlineLvl w:val="9"/>
              <w:rPr>
                <w:rFonts w:hint="eastAsia" w:ascii="宋体" w:hAnsi="宋体" w:eastAsia="宋体" w:cs="Times New Roman"/>
                <w:color w:val="auto"/>
                <w:sz w:val="21"/>
                <w:szCs w:val="21"/>
              </w:rPr>
            </w:pPr>
            <w:r>
              <w:rPr>
                <w:rFonts w:hint="eastAsia" w:ascii="宋体" w:hAnsi="宋体" w:eastAsia="宋体" w:cs="Times New Roman"/>
                <w:color w:val="auto"/>
                <w:sz w:val="21"/>
                <w:szCs w:val="21"/>
              </w:rPr>
              <w:t>&lt;按《报价须知前附表》内容填写&gt;</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kinsoku/>
              <w:overflowPunct/>
              <w:topLinePunct w:val="0"/>
              <w:bidi w:val="0"/>
              <w:snapToGrid w:val="0"/>
              <w:spacing w:line="300" w:lineRule="auto"/>
              <w:jc w:val="center"/>
              <w:outlineLvl w:val="9"/>
              <w:rPr>
                <w:rFonts w:hAnsi="宋体"/>
                <w:color w:val="auto"/>
                <w:sz w:val="21"/>
                <w:szCs w:val="21"/>
              </w:rPr>
            </w:pPr>
          </w:p>
        </w:tc>
        <w:tc>
          <w:tcPr>
            <w:tcW w:w="1440" w:type="dxa"/>
            <w:vAlign w:val="center"/>
          </w:tcPr>
          <w:p>
            <w:pPr>
              <w:kinsoku/>
              <w:overflowPunct/>
              <w:topLinePunct w:val="0"/>
              <w:bidi w:val="0"/>
              <w:ind w:left="46" w:leftChars="19"/>
              <w:jc w:val="center"/>
              <w:outlineLvl w:val="9"/>
              <w:rPr>
                <w:rFonts w:hAnsi="宋体"/>
                <w:color w:val="auto"/>
                <w:sz w:val="21"/>
                <w:szCs w:val="21"/>
              </w:rPr>
            </w:pPr>
            <w:r>
              <w:rPr>
                <w:rFonts w:hint="eastAsia" w:hAnsi="宋体"/>
                <w:color w:val="auto"/>
                <w:sz w:val="21"/>
                <w:szCs w:val="21"/>
              </w:rPr>
              <w:t>服务合格性</w:t>
            </w:r>
          </w:p>
          <w:p>
            <w:pPr>
              <w:kinsoku/>
              <w:overflowPunct/>
              <w:topLinePunct w:val="0"/>
              <w:bidi w:val="0"/>
              <w:ind w:left="46" w:leftChars="19"/>
              <w:jc w:val="center"/>
              <w:outlineLvl w:val="9"/>
              <w:rPr>
                <w:rFonts w:hAnsi="宋体"/>
                <w:color w:val="auto"/>
                <w:sz w:val="21"/>
                <w:szCs w:val="21"/>
              </w:rPr>
            </w:pPr>
            <w:r>
              <w:rPr>
                <w:rFonts w:hint="eastAsia" w:hAnsi="宋体"/>
                <w:color w:val="auto"/>
                <w:sz w:val="21"/>
                <w:szCs w:val="21"/>
              </w:rPr>
              <w:t>条件</w:t>
            </w:r>
          </w:p>
        </w:tc>
        <w:tc>
          <w:tcPr>
            <w:tcW w:w="4500" w:type="dxa"/>
            <w:vAlign w:val="center"/>
          </w:tcPr>
          <w:p>
            <w:pPr>
              <w:kinsoku/>
              <w:overflowPunct/>
              <w:topLinePunct w:val="0"/>
              <w:bidi w:val="0"/>
              <w:ind w:left="46" w:leftChars="19"/>
              <w:jc w:val="both"/>
              <w:outlineLvl w:val="9"/>
              <w:rPr>
                <w:rFonts w:hint="eastAsia" w:ascii="宋体" w:hAnsi="宋体" w:eastAsia="宋体" w:cs="Times New Roman"/>
                <w:color w:val="auto"/>
                <w:sz w:val="21"/>
                <w:szCs w:val="21"/>
              </w:rPr>
            </w:pPr>
            <w:r>
              <w:rPr>
                <w:rFonts w:hint="eastAsia" w:ascii="宋体" w:hAnsi="宋体" w:eastAsia="宋体" w:cs="Times New Roman"/>
                <w:color w:val="auto"/>
                <w:sz w:val="21"/>
                <w:szCs w:val="21"/>
              </w:rPr>
              <w:t>《报价须知前附表》“</w:t>
            </w:r>
            <w:r>
              <w:rPr>
                <w:rFonts w:hint="eastAsia" w:hAnsi="宋体" w:cs="Times New Roman"/>
                <w:color w:val="auto"/>
                <w:sz w:val="21"/>
                <w:szCs w:val="21"/>
                <w:lang w:eastAsia="zh-CN"/>
              </w:rPr>
              <w:t>响应供应商</w:t>
            </w:r>
            <w:r>
              <w:rPr>
                <w:rFonts w:hint="eastAsia" w:ascii="宋体" w:hAnsi="宋体" w:eastAsia="宋体" w:cs="Times New Roman"/>
                <w:color w:val="auto"/>
                <w:sz w:val="21"/>
                <w:szCs w:val="21"/>
              </w:rPr>
              <w:t>必须满足条件”</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kinsoku/>
              <w:overflowPunct/>
              <w:topLinePunct w:val="0"/>
              <w:bidi w:val="0"/>
              <w:snapToGrid w:val="0"/>
              <w:spacing w:line="300" w:lineRule="auto"/>
              <w:jc w:val="center"/>
              <w:outlineLvl w:val="9"/>
              <w:rPr>
                <w:rFonts w:hAnsi="宋体"/>
                <w:color w:val="auto"/>
                <w:sz w:val="21"/>
                <w:szCs w:val="21"/>
              </w:rPr>
            </w:pPr>
          </w:p>
        </w:tc>
        <w:tc>
          <w:tcPr>
            <w:tcW w:w="1440" w:type="dxa"/>
            <w:vAlign w:val="center"/>
          </w:tcPr>
          <w:p>
            <w:pPr>
              <w:kinsoku/>
              <w:overflowPunct/>
              <w:topLinePunct w:val="0"/>
              <w:bidi w:val="0"/>
              <w:ind w:left="-171"/>
              <w:jc w:val="center"/>
              <w:outlineLvl w:val="9"/>
              <w:rPr>
                <w:rFonts w:hAnsi="宋体"/>
                <w:color w:val="auto"/>
                <w:sz w:val="21"/>
                <w:szCs w:val="21"/>
              </w:rPr>
            </w:pPr>
            <w:r>
              <w:rPr>
                <w:rFonts w:hint="eastAsia" w:hAnsi="宋体"/>
                <w:color w:val="auto"/>
                <w:sz w:val="21"/>
                <w:szCs w:val="21"/>
              </w:rPr>
              <w:t>其他要求</w:t>
            </w:r>
          </w:p>
        </w:tc>
        <w:tc>
          <w:tcPr>
            <w:tcW w:w="4500" w:type="dxa"/>
            <w:vAlign w:val="center"/>
          </w:tcPr>
          <w:p>
            <w:pPr>
              <w:kinsoku/>
              <w:overflowPunct/>
              <w:topLinePunct w:val="0"/>
              <w:bidi w:val="0"/>
              <w:ind w:left="46" w:leftChars="19"/>
              <w:jc w:val="both"/>
              <w:outlineLvl w:val="9"/>
              <w:rPr>
                <w:rFonts w:hint="eastAsia" w:ascii="宋体" w:hAnsi="宋体" w:eastAsia="宋体" w:cs="Times New Roman"/>
                <w:color w:val="auto"/>
                <w:sz w:val="21"/>
                <w:szCs w:val="21"/>
              </w:rPr>
            </w:pPr>
            <w:r>
              <w:rPr>
                <w:rFonts w:hint="eastAsia" w:ascii="宋体" w:hAnsi="宋体" w:eastAsia="宋体" w:cs="Times New Roman"/>
                <w:color w:val="auto"/>
                <w:sz w:val="21"/>
                <w:szCs w:val="21"/>
              </w:rPr>
              <w:t>按报价资料清单中规定提供“必须提交”的文件资料</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kinsoku/>
              <w:overflowPunct/>
              <w:topLinePunct w:val="0"/>
              <w:bidi w:val="0"/>
              <w:snapToGrid w:val="0"/>
              <w:spacing w:line="300" w:lineRule="auto"/>
              <w:jc w:val="center"/>
              <w:outlineLvl w:val="9"/>
              <w:rPr>
                <w:rFonts w:hAnsi="宋体"/>
                <w:color w:val="auto"/>
                <w:sz w:val="21"/>
                <w:szCs w:val="21"/>
              </w:rPr>
            </w:pPr>
            <w:r>
              <w:rPr>
                <w:rFonts w:hint="eastAsia" w:hAnsi="宋体"/>
                <w:color w:val="auto"/>
                <w:sz w:val="21"/>
                <w:szCs w:val="21"/>
              </w:rPr>
              <w:t>符合性审查</w:t>
            </w:r>
          </w:p>
        </w:tc>
        <w:tc>
          <w:tcPr>
            <w:tcW w:w="1440" w:type="dxa"/>
            <w:vMerge w:val="restart"/>
            <w:vAlign w:val="center"/>
          </w:tcPr>
          <w:p>
            <w:pPr>
              <w:kinsoku/>
              <w:overflowPunct/>
              <w:topLinePunct w:val="0"/>
              <w:bidi w:val="0"/>
              <w:ind w:left="-171"/>
              <w:jc w:val="center"/>
              <w:outlineLvl w:val="9"/>
              <w:rPr>
                <w:rFonts w:hAnsi="宋体"/>
                <w:color w:val="auto"/>
                <w:sz w:val="21"/>
                <w:szCs w:val="21"/>
              </w:rPr>
            </w:pPr>
            <w:r>
              <w:rPr>
                <w:rFonts w:hint="eastAsia" w:hAnsi="宋体"/>
                <w:color w:val="auto"/>
                <w:sz w:val="21"/>
                <w:szCs w:val="21"/>
                <w:lang w:eastAsia="zh-CN"/>
              </w:rPr>
              <w:t>响应供应商</w:t>
            </w:r>
            <w:r>
              <w:rPr>
                <w:rFonts w:hint="eastAsia" w:hAnsi="宋体"/>
                <w:color w:val="auto"/>
                <w:sz w:val="21"/>
                <w:szCs w:val="21"/>
              </w:rPr>
              <w:t>的</w:t>
            </w:r>
          </w:p>
          <w:p>
            <w:pPr>
              <w:kinsoku/>
              <w:overflowPunct/>
              <w:topLinePunct w:val="0"/>
              <w:bidi w:val="0"/>
              <w:ind w:left="-171"/>
              <w:jc w:val="center"/>
              <w:outlineLvl w:val="9"/>
              <w:rPr>
                <w:rFonts w:hAnsi="宋体"/>
                <w:color w:val="auto"/>
                <w:sz w:val="21"/>
                <w:szCs w:val="21"/>
              </w:rPr>
            </w:pPr>
            <w:r>
              <w:rPr>
                <w:rFonts w:hint="eastAsia" w:hAnsi="宋体"/>
                <w:color w:val="auto"/>
                <w:sz w:val="21"/>
                <w:szCs w:val="21"/>
              </w:rPr>
              <w:t>合格性</w:t>
            </w:r>
          </w:p>
        </w:tc>
        <w:tc>
          <w:tcPr>
            <w:tcW w:w="4500" w:type="dxa"/>
            <w:vAlign w:val="center"/>
          </w:tcPr>
          <w:p>
            <w:pPr>
              <w:tabs>
                <w:tab w:val="left" w:pos="2880"/>
              </w:tabs>
              <w:kinsoku/>
              <w:overflowPunct/>
              <w:topLinePunct w:val="0"/>
              <w:bidi w:val="0"/>
              <w:ind w:left="46" w:leftChars="19"/>
              <w:jc w:val="both"/>
              <w:outlineLvl w:val="9"/>
              <w:rPr>
                <w:rFonts w:hAnsi="宋体"/>
                <w:color w:val="auto"/>
                <w:sz w:val="21"/>
                <w:szCs w:val="21"/>
              </w:rPr>
            </w:pPr>
            <w:r>
              <w:rPr>
                <w:rFonts w:hint="eastAsia" w:hAnsi="宋体"/>
                <w:color w:val="auto"/>
                <w:sz w:val="21"/>
                <w:szCs w:val="21"/>
              </w:rPr>
              <w:t>在参与政府采购活动中未有违法违纪行为并受过处罚</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kinsoku/>
              <w:overflowPunct/>
              <w:topLinePunct w:val="0"/>
              <w:bidi w:val="0"/>
              <w:snapToGrid w:val="0"/>
              <w:spacing w:line="300" w:lineRule="auto"/>
              <w:outlineLvl w:val="9"/>
              <w:rPr>
                <w:rFonts w:hAnsi="宋体"/>
                <w:color w:val="auto"/>
                <w:sz w:val="21"/>
                <w:szCs w:val="21"/>
              </w:rPr>
            </w:pPr>
          </w:p>
        </w:tc>
        <w:tc>
          <w:tcPr>
            <w:tcW w:w="1440" w:type="dxa"/>
            <w:vMerge w:val="continue"/>
            <w:vAlign w:val="center"/>
          </w:tcPr>
          <w:p>
            <w:pPr>
              <w:kinsoku/>
              <w:overflowPunct/>
              <w:topLinePunct w:val="0"/>
              <w:bidi w:val="0"/>
              <w:ind w:left="-171"/>
              <w:jc w:val="center"/>
              <w:outlineLvl w:val="9"/>
              <w:rPr>
                <w:rFonts w:hAnsi="宋体"/>
                <w:color w:val="auto"/>
                <w:sz w:val="21"/>
                <w:szCs w:val="21"/>
              </w:rPr>
            </w:pPr>
          </w:p>
        </w:tc>
        <w:tc>
          <w:tcPr>
            <w:tcW w:w="4500" w:type="dxa"/>
            <w:vAlign w:val="center"/>
          </w:tcPr>
          <w:p>
            <w:pPr>
              <w:kinsoku/>
              <w:overflowPunct/>
              <w:topLinePunct w:val="0"/>
              <w:bidi w:val="0"/>
              <w:jc w:val="both"/>
              <w:outlineLvl w:val="9"/>
              <w:rPr>
                <w:rFonts w:hAnsi="宋体"/>
                <w:color w:val="auto"/>
                <w:sz w:val="21"/>
                <w:szCs w:val="21"/>
              </w:rPr>
            </w:pPr>
            <w:r>
              <w:rPr>
                <w:rFonts w:hint="eastAsia" w:hAnsi="宋体"/>
                <w:color w:val="auto"/>
                <w:sz w:val="21"/>
                <w:szCs w:val="21"/>
              </w:rPr>
              <w:t>在经营范围内报价</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kinsoku/>
              <w:overflowPunct/>
              <w:topLinePunct w:val="0"/>
              <w:bidi w:val="0"/>
              <w:snapToGrid w:val="0"/>
              <w:spacing w:line="300" w:lineRule="auto"/>
              <w:outlineLvl w:val="9"/>
              <w:rPr>
                <w:rFonts w:hAnsi="宋体"/>
                <w:color w:val="auto"/>
                <w:sz w:val="21"/>
                <w:szCs w:val="21"/>
              </w:rPr>
            </w:pPr>
          </w:p>
        </w:tc>
        <w:tc>
          <w:tcPr>
            <w:tcW w:w="1440" w:type="dxa"/>
            <w:vMerge w:val="continue"/>
            <w:vAlign w:val="center"/>
          </w:tcPr>
          <w:p>
            <w:pPr>
              <w:kinsoku/>
              <w:overflowPunct/>
              <w:topLinePunct w:val="0"/>
              <w:bidi w:val="0"/>
              <w:ind w:left="-171"/>
              <w:jc w:val="center"/>
              <w:outlineLvl w:val="9"/>
              <w:rPr>
                <w:rFonts w:hAnsi="宋体"/>
                <w:color w:val="auto"/>
                <w:sz w:val="21"/>
                <w:szCs w:val="21"/>
              </w:rPr>
            </w:pPr>
          </w:p>
        </w:tc>
        <w:tc>
          <w:tcPr>
            <w:tcW w:w="4500" w:type="dxa"/>
            <w:vAlign w:val="center"/>
          </w:tcPr>
          <w:p>
            <w:pPr>
              <w:kinsoku/>
              <w:overflowPunct/>
              <w:topLinePunct w:val="0"/>
              <w:bidi w:val="0"/>
              <w:jc w:val="both"/>
              <w:outlineLvl w:val="9"/>
              <w:rPr>
                <w:rFonts w:hAnsi="宋体"/>
                <w:color w:val="auto"/>
                <w:sz w:val="21"/>
                <w:szCs w:val="21"/>
              </w:rPr>
            </w:pPr>
            <w:r>
              <w:rPr>
                <w:rFonts w:hint="eastAsia" w:hAnsi="宋体"/>
                <w:color w:val="auto"/>
                <w:sz w:val="21"/>
                <w:szCs w:val="21"/>
                <w:lang w:eastAsia="zh-CN"/>
              </w:rPr>
              <w:t>响应有效期</w:t>
            </w:r>
            <w:r>
              <w:rPr>
                <w:rFonts w:hint="eastAsia" w:hAnsi="宋体"/>
                <w:color w:val="auto"/>
                <w:sz w:val="21"/>
                <w:szCs w:val="21"/>
              </w:rPr>
              <w:t>、服务期</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kinsoku/>
              <w:overflowPunct/>
              <w:topLinePunct w:val="0"/>
              <w:bidi w:val="0"/>
              <w:snapToGrid w:val="0"/>
              <w:spacing w:line="300" w:lineRule="auto"/>
              <w:outlineLvl w:val="9"/>
              <w:rPr>
                <w:rFonts w:hAnsi="宋体"/>
                <w:color w:val="auto"/>
                <w:sz w:val="21"/>
                <w:szCs w:val="21"/>
              </w:rPr>
            </w:pPr>
          </w:p>
        </w:tc>
        <w:tc>
          <w:tcPr>
            <w:tcW w:w="1440" w:type="dxa"/>
            <w:vAlign w:val="center"/>
          </w:tcPr>
          <w:p>
            <w:pPr>
              <w:kinsoku/>
              <w:overflowPunct/>
              <w:topLinePunct w:val="0"/>
              <w:bidi w:val="0"/>
              <w:ind w:left="-171"/>
              <w:jc w:val="center"/>
              <w:outlineLvl w:val="9"/>
              <w:rPr>
                <w:rFonts w:hAnsi="宋体"/>
                <w:color w:val="auto"/>
                <w:sz w:val="21"/>
                <w:szCs w:val="21"/>
              </w:rPr>
            </w:pPr>
            <w:r>
              <w:rPr>
                <w:rFonts w:hint="eastAsia" w:hAnsi="宋体"/>
                <w:color w:val="auto"/>
                <w:sz w:val="21"/>
                <w:szCs w:val="21"/>
              </w:rPr>
              <w:t>合同条款要求</w:t>
            </w:r>
          </w:p>
        </w:tc>
        <w:tc>
          <w:tcPr>
            <w:tcW w:w="4500" w:type="dxa"/>
            <w:vAlign w:val="center"/>
          </w:tcPr>
          <w:p>
            <w:pPr>
              <w:kinsoku/>
              <w:overflowPunct/>
              <w:topLinePunct w:val="0"/>
              <w:bidi w:val="0"/>
              <w:jc w:val="both"/>
              <w:outlineLvl w:val="9"/>
              <w:rPr>
                <w:rFonts w:hAnsi="宋体"/>
                <w:color w:val="auto"/>
                <w:sz w:val="21"/>
                <w:szCs w:val="21"/>
              </w:rPr>
            </w:pPr>
            <w:r>
              <w:rPr>
                <w:rFonts w:hint="eastAsia" w:hAnsi="宋体"/>
                <w:color w:val="auto"/>
                <w:sz w:val="21"/>
                <w:szCs w:val="21"/>
              </w:rPr>
              <w:t>实质性响应标书中的合同要求</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kinsoku/>
              <w:overflowPunct/>
              <w:topLinePunct w:val="0"/>
              <w:bidi w:val="0"/>
              <w:snapToGrid w:val="0"/>
              <w:spacing w:line="300" w:lineRule="auto"/>
              <w:outlineLvl w:val="9"/>
              <w:rPr>
                <w:rFonts w:hAnsi="宋体"/>
                <w:color w:val="auto"/>
                <w:sz w:val="21"/>
                <w:szCs w:val="21"/>
              </w:rPr>
            </w:pPr>
          </w:p>
        </w:tc>
        <w:tc>
          <w:tcPr>
            <w:tcW w:w="1440" w:type="dxa"/>
            <w:vAlign w:val="center"/>
          </w:tcPr>
          <w:p>
            <w:pPr>
              <w:kinsoku/>
              <w:overflowPunct/>
              <w:topLinePunct w:val="0"/>
              <w:bidi w:val="0"/>
              <w:jc w:val="both"/>
              <w:outlineLvl w:val="9"/>
              <w:rPr>
                <w:rFonts w:hAnsi="宋体"/>
                <w:color w:val="auto"/>
                <w:sz w:val="21"/>
                <w:szCs w:val="21"/>
              </w:rPr>
            </w:pPr>
            <w:r>
              <w:rPr>
                <w:rFonts w:hint="eastAsia" w:hAnsi="宋体"/>
                <w:color w:val="auto"/>
                <w:sz w:val="21"/>
                <w:szCs w:val="21"/>
              </w:rPr>
              <w:t>技术要求</w:t>
            </w:r>
          </w:p>
        </w:tc>
        <w:tc>
          <w:tcPr>
            <w:tcW w:w="4500" w:type="dxa"/>
            <w:vAlign w:val="center"/>
          </w:tcPr>
          <w:p>
            <w:pPr>
              <w:kinsoku/>
              <w:overflowPunct/>
              <w:topLinePunct w:val="0"/>
              <w:bidi w:val="0"/>
              <w:jc w:val="both"/>
              <w:outlineLvl w:val="9"/>
              <w:rPr>
                <w:rFonts w:hAnsi="宋体"/>
                <w:color w:val="auto"/>
                <w:sz w:val="21"/>
                <w:szCs w:val="21"/>
              </w:rPr>
            </w:pPr>
            <w:r>
              <w:rPr>
                <w:rFonts w:hint="eastAsia" w:hAnsi="宋体"/>
                <w:color w:val="auto"/>
                <w:sz w:val="21"/>
                <w:szCs w:val="21"/>
              </w:rPr>
              <w:t>实质性响应标书中的技术</w:t>
            </w:r>
            <w:r>
              <w:rPr>
                <w:rFonts w:hint="eastAsia" w:hAnsi="宋体"/>
                <w:color w:val="auto"/>
                <w:sz w:val="21"/>
                <w:szCs w:val="21"/>
                <w:lang w:eastAsia="zh-CN"/>
              </w:rPr>
              <w:t>商务</w:t>
            </w:r>
            <w:r>
              <w:rPr>
                <w:rFonts w:hint="eastAsia" w:hAnsi="宋体"/>
                <w:color w:val="auto"/>
                <w:sz w:val="21"/>
                <w:szCs w:val="21"/>
              </w:rPr>
              <w:t>要求</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rFonts w:hAnsi="宋体"/>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kinsoku/>
              <w:overflowPunct/>
              <w:topLinePunct w:val="0"/>
              <w:bidi w:val="0"/>
              <w:snapToGrid w:val="0"/>
              <w:spacing w:line="300" w:lineRule="auto"/>
              <w:outlineLvl w:val="9"/>
              <w:rPr>
                <w:rFonts w:hAnsi="宋体"/>
                <w:color w:val="auto"/>
                <w:sz w:val="21"/>
                <w:szCs w:val="21"/>
              </w:rPr>
            </w:pPr>
          </w:p>
        </w:tc>
        <w:tc>
          <w:tcPr>
            <w:tcW w:w="1440" w:type="dxa"/>
            <w:vAlign w:val="center"/>
          </w:tcPr>
          <w:p>
            <w:pPr>
              <w:kinsoku/>
              <w:overflowPunct/>
              <w:topLinePunct w:val="0"/>
              <w:bidi w:val="0"/>
              <w:ind w:left="-171"/>
              <w:jc w:val="center"/>
              <w:outlineLvl w:val="9"/>
              <w:rPr>
                <w:rFonts w:hAnsi="宋体"/>
                <w:color w:val="auto"/>
                <w:sz w:val="21"/>
                <w:szCs w:val="21"/>
              </w:rPr>
            </w:pPr>
            <w:r>
              <w:rPr>
                <w:rFonts w:hint="eastAsia" w:hAnsi="宋体"/>
                <w:color w:val="auto"/>
                <w:sz w:val="21"/>
                <w:szCs w:val="21"/>
              </w:rPr>
              <w:t>报价要求</w:t>
            </w:r>
          </w:p>
        </w:tc>
        <w:tc>
          <w:tcPr>
            <w:tcW w:w="4500" w:type="dxa"/>
            <w:vAlign w:val="center"/>
          </w:tcPr>
          <w:p>
            <w:pPr>
              <w:tabs>
                <w:tab w:val="left" w:pos="2880"/>
              </w:tabs>
              <w:kinsoku/>
              <w:overflowPunct/>
              <w:topLinePunct w:val="0"/>
              <w:bidi w:val="0"/>
              <w:ind w:left="46" w:leftChars="19"/>
              <w:jc w:val="both"/>
              <w:outlineLvl w:val="9"/>
              <w:rPr>
                <w:rFonts w:hAnsi="宋体"/>
                <w:color w:val="auto"/>
                <w:sz w:val="21"/>
                <w:szCs w:val="21"/>
              </w:rPr>
            </w:pPr>
            <w:r>
              <w:rPr>
                <w:rFonts w:hint="eastAsia" w:hAnsi="宋体"/>
                <w:color w:val="auto"/>
                <w:sz w:val="21"/>
                <w:szCs w:val="21"/>
              </w:rPr>
              <w:t>报价方案是唯一确定</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jc w:val="both"/>
              <w:outlineLvl w:val="9"/>
              <w:rPr>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kinsoku/>
              <w:overflowPunct/>
              <w:topLinePunct w:val="0"/>
              <w:bidi w:val="0"/>
              <w:snapToGrid w:val="0"/>
              <w:spacing w:line="300" w:lineRule="auto"/>
              <w:outlineLvl w:val="9"/>
              <w:rPr>
                <w:rFonts w:hAnsi="宋体"/>
                <w:color w:val="auto"/>
                <w:sz w:val="21"/>
                <w:szCs w:val="21"/>
              </w:rPr>
            </w:pPr>
          </w:p>
        </w:tc>
        <w:tc>
          <w:tcPr>
            <w:tcW w:w="1440" w:type="dxa"/>
            <w:vAlign w:val="center"/>
          </w:tcPr>
          <w:p>
            <w:pPr>
              <w:kinsoku/>
              <w:overflowPunct/>
              <w:topLinePunct w:val="0"/>
              <w:bidi w:val="0"/>
              <w:ind w:left="-171"/>
              <w:jc w:val="center"/>
              <w:outlineLvl w:val="9"/>
              <w:rPr>
                <w:rFonts w:hAnsi="宋体"/>
                <w:color w:val="auto"/>
                <w:sz w:val="21"/>
                <w:szCs w:val="21"/>
              </w:rPr>
            </w:pPr>
            <w:r>
              <w:rPr>
                <w:rFonts w:hint="eastAsia" w:hAnsi="宋体"/>
                <w:color w:val="auto"/>
                <w:sz w:val="21"/>
                <w:szCs w:val="21"/>
              </w:rPr>
              <w:t>其它</w:t>
            </w:r>
          </w:p>
        </w:tc>
        <w:tc>
          <w:tcPr>
            <w:tcW w:w="4500" w:type="dxa"/>
            <w:vAlign w:val="center"/>
          </w:tcPr>
          <w:p>
            <w:pPr>
              <w:tabs>
                <w:tab w:val="left" w:pos="2880"/>
              </w:tabs>
              <w:kinsoku/>
              <w:overflowPunct/>
              <w:topLinePunct w:val="0"/>
              <w:bidi w:val="0"/>
              <w:ind w:left="46" w:leftChars="19"/>
              <w:jc w:val="both"/>
              <w:outlineLvl w:val="9"/>
              <w:rPr>
                <w:rFonts w:hAnsi="宋体"/>
                <w:color w:val="auto"/>
                <w:sz w:val="21"/>
                <w:szCs w:val="21"/>
              </w:rPr>
            </w:pPr>
            <w:r>
              <w:rPr>
                <w:rFonts w:hint="eastAsia" w:hAnsi="宋体"/>
                <w:color w:val="auto"/>
                <w:sz w:val="21"/>
                <w:szCs w:val="21"/>
              </w:rPr>
              <w:t>实质性响应谈判文件中规定的其它情况</w:t>
            </w:r>
          </w:p>
        </w:tc>
        <w:tc>
          <w:tcPr>
            <w:tcW w:w="1404" w:type="dxa"/>
            <w:vAlign w:val="center"/>
          </w:tcPr>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□通过</w:t>
            </w:r>
          </w:p>
          <w:p>
            <w:pPr>
              <w:kinsoku/>
              <w:overflowPunct/>
              <w:topLinePunct w:val="0"/>
              <w:bidi w:val="0"/>
              <w:ind w:left="282" w:leftChars="59" w:hanging="140" w:hangingChars="67"/>
              <w:jc w:val="both"/>
              <w:outlineLvl w:val="9"/>
              <w:rPr>
                <w:rFonts w:hAnsi="宋体"/>
                <w:color w:val="auto"/>
                <w:sz w:val="21"/>
                <w:szCs w:val="21"/>
              </w:rPr>
            </w:pPr>
            <w:r>
              <w:rPr>
                <w:rFonts w:hint="eastAsia" w:hAnsi="宋体"/>
                <w:color w:val="auto"/>
                <w:sz w:val="21"/>
                <w:szCs w:val="21"/>
              </w:rPr>
              <w:t>□不通过</w:t>
            </w:r>
          </w:p>
        </w:tc>
        <w:tc>
          <w:tcPr>
            <w:tcW w:w="1859" w:type="dxa"/>
            <w:vAlign w:val="center"/>
          </w:tcPr>
          <w:p>
            <w:pPr>
              <w:kinsoku/>
              <w:overflowPunct/>
              <w:topLinePunct w:val="0"/>
              <w:bidi w:val="0"/>
              <w:ind w:left="-171" w:firstLine="180" w:firstLineChars="100"/>
              <w:jc w:val="both"/>
              <w:outlineLvl w:val="9"/>
              <w:rPr>
                <w:rFonts w:hAnsi="宋体"/>
                <w:color w:val="auto"/>
                <w:sz w:val="18"/>
                <w:szCs w:val="18"/>
              </w:rPr>
            </w:pPr>
            <w:r>
              <w:rPr>
                <w:rFonts w:hint="eastAsia" w:hAnsi="宋体"/>
                <w:color w:val="auto"/>
                <w:sz w:val="18"/>
                <w:szCs w:val="18"/>
              </w:rPr>
              <w:t>见</w:t>
            </w:r>
            <w:r>
              <w:rPr>
                <w:rFonts w:hint="eastAsia" w:hAnsi="宋体"/>
                <w:color w:val="auto"/>
                <w:sz w:val="18"/>
                <w:szCs w:val="18"/>
                <w:lang w:eastAsia="zh-CN"/>
              </w:rPr>
              <w:t>响应文件</w:t>
            </w:r>
            <w:r>
              <w:rPr>
                <w:rFonts w:hint="eastAsia" w:hAnsi="宋体"/>
                <w:color w:val="auto"/>
                <w:sz w:val="18"/>
                <w:szCs w:val="18"/>
              </w:rPr>
              <w:t>第（）页</w:t>
            </w:r>
          </w:p>
        </w:tc>
      </w:tr>
    </w:tbl>
    <w:p>
      <w:pPr>
        <w:kinsoku/>
        <w:overflowPunct/>
        <w:topLinePunct w:val="0"/>
        <w:bidi w:val="0"/>
        <w:snapToGrid w:val="0"/>
        <w:spacing w:line="440" w:lineRule="exact"/>
        <w:ind w:firstLine="420" w:firstLineChars="200"/>
        <w:outlineLvl w:val="9"/>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注：以上材料将作为</w:t>
      </w:r>
      <w:r>
        <w:rPr>
          <w:rFonts w:hint="eastAsia" w:hAnsi="宋体" w:cs="Times New Roman"/>
          <w:color w:val="auto"/>
          <w:sz w:val="21"/>
          <w:szCs w:val="21"/>
          <w:lang w:eastAsia="zh-CN"/>
        </w:rPr>
        <w:t>响应供应商</w:t>
      </w:r>
      <w:r>
        <w:rPr>
          <w:rFonts w:hint="eastAsia" w:ascii="宋体" w:hAnsi="宋体" w:eastAsia="宋体" w:cs="Times New Roman"/>
          <w:color w:val="auto"/>
          <w:sz w:val="21"/>
          <w:szCs w:val="21"/>
          <w:lang w:eastAsia="zh-CN"/>
        </w:rPr>
        <w:t>合格性和有效性审核的重要内容之一，</w:t>
      </w:r>
      <w:r>
        <w:rPr>
          <w:rFonts w:hint="eastAsia" w:hAnsi="宋体" w:cs="Times New Roman"/>
          <w:color w:val="auto"/>
          <w:sz w:val="21"/>
          <w:szCs w:val="21"/>
          <w:lang w:eastAsia="zh-CN"/>
        </w:rPr>
        <w:t>响应供应商</w:t>
      </w:r>
      <w:r>
        <w:rPr>
          <w:rFonts w:hint="eastAsia" w:ascii="宋体" w:hAnsi="宋体" w:eastAsia="宋体" w:cs="Times New Roman"/>
          <w:color w:val="auto"/>
          <w:sz w:val="21"/>
          <w:szCs w:val="21"/>
          <w:lang w:eastAsia="zh-CN"/>
        </w:rPr>
        <w:t>必须严格按照其内容及序列要求在</w:t>
      </w:r>
      <w:r>
        <w:rPr>
          <w:rFonts w:hint="eastAsia" w:hAnsi="宋体" w:cs="Times New Roman"/>
          <w:color w:val="auto"/>
          <w:sz w:val="21"/>
          <w:szCs w:val="21"/>
          <w:lang w:eastAsia="zh-CN"/>
        </w:rPr>
        <w:t>响应文件</w:t>
      </w:r>
      <w:r>
        <w:rPr>
          <w:rFonts w:hint="eastAsia" w:ascii="宋体" w:hAnsi="宋体" w:eastAsia="宋体" w:cs="Times New Roman"/>
          <w:color w:val="auto"/>
          <w:sz w:val="21"/>
          <w:szCs w:val="21"/>
          <w:lang w:eastAsia="zh-CN"/>
        </w:rPr>
        <w:t>中对应如实提供，对缺漏和不符合项将会直接导致无效报价！在对应的□打“√”。</w:t>
      </w:r>
    </w:p>
    <w:p>
      <w:pPr>
        <w:kinsoku/>
        <w:overflowPunct/>
        <w:topLinePunct w:val="0"/>
        <w:bidi w:val="0"/>
        <w:snapToGrid w:val="0"/>
        <w:spacing w:line="300" w:lineRule="auto"/>
        <w:outlineLvl w:val="9"/>
        <w:rPr>
          <w:rFonts w:hAnsi="宋体"/>
          <w:color w:val="auto"/>
          <w:sz w:val="21"/>
          <w:szCs w:val="21"/>
        </w:rPr>
      </w:pPr>
    </w:p>
    <w:p>
      <w:pPr>
        <w:kinsoku/>
        <w:overflowPunct/>
        <w:topLinePunct w:val="0"/>
        <w:bidi w:val="0"/>
        <w:snapToGrid w:val="0"/>
        <w:spacing w:line="440" w:lineRule="exact"/>
        <w:outlineLvl w:val="9"/>
        <w:rPr>
          <w:rFonts w:hint="eastAsia" w:hAnsi="宋体"/>
          <w:color w:val="auto"/>
          <w:sz w:val="24"/>
          <w:szCs w:val="24"/>
          <w:lang w:eastAsia="zh-CN"/>
        </w:rPr>
      </w:pPr>
      <w:bookmarkStart w:id="53" w:name="_Toc382926902"/>
      <w:bookmarkStart w:id="54" w:name="_Toc382840850"/>
    </w:p>
    <w:p>
      <w:pPr>
        <w:kinsoku/>
        <w:overflowPunct/>
        <w:topLinePunct w:val="0"/>
        <w:bidi w:val="0"/>
        <w:snapToGrid w:val="0"/>
        <w:spacing w:line="440" w:lineRule="exact"/>
        <w:outlineLvl w:val="9"/>
        <w:rPr>
          <w:rFonts w:hAnsi="宋体"/>
          <w:color w:val="auto"/>
          <w:sz w:val="24"/>
          <w:szCs w:val="24"/>
        </w:rPr>
      </w:pPr>
      <w:r>
        <w:rPr>
          <w:rFonts w:hint="eastAsia" w:hAnsi="宋体"/>
          <w:color w:val="auto"/>
          <w:sz w:val="24"/>
          <w:szCs w:val="24"/>
          <w:lang w:eastAsia="zh-CN"/>
        </w:rPr>
        <w:t>响应供应商</w:t>
      </w:r>
      <w:r>
        <w:rPr>
          <w:rFonts w:hint="eastAsia" w:hAnsi="宋体"/>
          <w:color w:val="auto"/>
          <w:sz w:val="24"/>
          <w:szCs w:val="24"/>
        </w:rPr>
        <w:t>法定代表人（或法定代表人授权代表）签</w:t>
      </w:r>
      <w:r>
        <w:rPr>
          <w:rFonts w:hint="eastAsia" w:hAnsi="宋体"/>
          <w:color w:val="auto"/>
          <w:sz w:val="24"/>
          <w:szCs w:val="24"/>
          <w:lang w:eastAsia="zh-CN"/>
        </w:rPr>
        <w:t>名（签章）</w:t>
      </w:r>
      <w:r>
        <w:rPr>
          <w:rFonts w:hint="eastAsia" w:hAnsi="宋体"/>
          <w:color w:val="auto"/>
          <w:sz w:val="24"/>
          <w:szCs w:val="24"/>
        </w:rPr>
        <w:t>：</w:t>
      </w:r>
    </w:p>
    <w:p>
      <w:pPr>
        <w:kinsoku/>
        <w:overflowPunct/>
        <w:topLinePunct w:val="0"/>
        <w:bidi w:val="0"/>
        <w:snapToGrid w:val="0"/>
        <w:spacing w:line="440" w:lineRule="exact"/>
        <w:outlineLvl w:val="9"/>
        <w:rPr>
          <w:rFonts w:hAnsi="宋体"/>
          <w:color w:val="auto"/>
          <w:sz w:val="24"/>
          <w:szCs w:val="24"/>
          <w:u w:val="single"/>
        </w:rPr>
      </w:pPr>
      <w:r>
        <w:rPr>
          <w:rFonts w:hint="eastAsia" w:hAnsi="宋体"/>
          <w:color w:val="auto"/>
          <w:sz w:val="24"/>
          <w:szCs w:val="24"/>
          <w:lang w:eastAsia="zh-CN"/>
        </w:rPr>
        <w:t>响应供应商</w:t>
      </w:r>
      <w:r>
        <w:rPr>
          <w:rFonts w:hint="eastAsia" w:hAnsi="宋体"/>
          <w:color w:val="auto"/>
          <w:sz w:val="24"/>
          <w:szCs w:val="24"/>
        </w:rPr>
        <w:t>名称（加盖法人公章）：</w:t>
      </w:r>
    </w:p>
    <w:p>
      <w:pPr>
        <w:kinsoku/>
        <w:overflowPunct/>
        <w:topLinePunct w:val="0"/>
        <w:bidi w:val="0"/>
        <w:snapToGrid w:val="0"/>
        <w:spacing w:line="440" w:lineRule="exact"/>
        <w:outlineLvl w:val="9"/>
        <w:rPr>
          <w:rFonts w:hAnsi="宋体"/>
          <w:color w:val="auto"/>
          <w:sz w:val="24"/>
          <w:szCs w:val="24"/>
        </w:rPr>
      </w:pPr>
      <w:r>
        <w:rPr>
          <w:rFonts w:hint="eastAsia" w:hAnsi="宋体"/>
          <w:color w:val="auto"/>
          <w:sz w:val="24"/>
          <w:szCs w:val="24"/>
        </w:rPr>
        <w:t>日期：</w:t>
      </w:r>
      <w:r>
        <w:rPr>
          <w:rFonts w:hint="eastAsia" w:hAnsi="宋体"/>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w:t>
      </w:r>
    </w:p>
    <w:p>
      <w:pPr>
        <w:pStyle w:val="15"/>
        <w:kinsoku/>
        <w:overflowPunct/>
        <w:topLinePunct w:val="0"/>
        <w:bidi w:val="0"/>
        <w:outlineLvl w:val="9"/>
        <w:rPr>
          <w:color w:val="auto"/>
        </w:rPr>
      </w:pPr>
    </w:p>
    <w:p>
      <w:pPr>
        <w:rPr>
          <w:color w:val="auto"/>
        </w:rPr>
      </w:pPr>
    </w:p>
    <w:p>
      <w:pPr>
        <w:pStyle w:val="3"/>
        <w:rPr>
          <w:color w:val="auto"/>
        </w:rPr>
      </w:pPr>
    </w:p>
    <w:p>
      <w:pPr>
        <w:kinsoku/>
        <w:overflowPunct/>
        <w:topLinePunct w:val="0"/>
        <w:bidi w:val="0"/>
        <w:spacing w:after="120" w:line="480" w:lineRule="exact"/>
        <w:jc w:val="center"/>
        <w:outlineLvl w:val="9"/>
        <w:rPr>
          <w:rFonts w:hAnsi="宋体"/>
          <w:b/>
          <w:color w:val="auto"/>
          <w:sz w:val="21"/>
          <w:szCs w:val="20"/>
        </w:rPr>
      </w:pPr>
      <w:r>
        <w:rPr>
          <w:rFonts w:hint="eastAsia" w:hAnsi="宋体"/>
          <w:b/>
          <w:bCs w:val="0"/>
          <w:color w:val="auto"/>
          <w:sz w:val="28"/>
          <w:szCs w:val="28"/>
        </w:rPr>
        <w:t>第二节 商务文件</w:t>
      </w:r>
      <w:bookmarkEnd w:id="53"/>
      <w:bookmarkEnd w:id="54"/>
    </w:p>
    <w:p>
      <w:pPr>
        <w:kinsoku/>
        <w:overflowPunct/>
        <w:topLinePunct w:val="0"/>
        <w:bidi w:val="0"/>
        <w:spacing w:before="120" w:after="120"/>
        <w:jc w:val="both"/>
        <w:outlineLvl w:val="9"/>
        <w:rPr>
          <w:rFonts w:hAnsi="宋体"/>
          <w:b/>
          <w:color w:val="auto"/>
          <w:sz w:val="21"/>
          <w:szCs w:val="20"/>
        </w:rPr>
      </w:pPr>
      <w:bookmarkStart w:id="55" w:name="_Hlt10519541"/>
      <w:bookmarkEnd w:id="55"/>
      <w:bookmarkStart w:id="56" w:name="_Toc382926904"/>
      <w:bookmarkStart w:id="57" w:name="_Toc382840852"/>
      <w:bookmarkStart w:id="58" w:name="_Hlt10456257"/>
      <w:r>
        <w:rPr>
          <w:rFonts w:hint="eastAsia" w:hAnsi="宋体"/>
          <w:b/>
          <w:color w:val="auto"/>
          <w:sz w:val="21"/>
          <w:szCs w:val="20"/>
        </w:rPr>
        <w:t>附表2.1 报价函格式</w:t>
      </w:r>
      <w:bookmarkEnd w:id="56"/>
      <w:bookmarkEnd w:id="57"/>
      <w:bookmarkEnd w:id="58"/>
    </w:p>
    <w:p>
      <w:pPr>
        <w:kinsoku/>
        <w:overflowPunct/>
        <w:topLinePunct w:val="0"/>
        <w:bidi w:val="0"/>
        <w:spacing w:line="480" w:lineRule="exact"/>
        <w:jc w:val="center"/>
        <w:outlineLvl w:val="9"/>
        <w:rPr>
          <w:rFonts w:hAnsi="宋体"/>
          <w:b/>
          <w:color w:val="auto"/>
          <w:sz w:val="32"/>
          <w:szCs w:val="32"/>
        </w:rPr>
      </w:pPr>
      <w:r>
        <w:rPr>
          <w:rFonts w:hint="eastAsia" w:hAnsi="宋体"/>
          <w:b/>
          <w:color w:val="auto"/>
          <w:sz w:val="32"/>
          <w:szCs w:val="32"/>
        </w:rPr>
        <w:t>报 价 函</w:t>
      </w:r>
    </w:p>
    <w:p>
      <w:pPr>
        <w:kinsoku/>
        <w:overflowPunct/>
        <w:topLinePunct w:val="0"/>
        <w:bidi w:val="0"/>
        <w:spacing w:line="380" w:lineRule="exact"/>
        <w:outlineLvl w:val="9"/>
        <w:rPr>
          <w:rFonts w:hAnsi="宋体"/>
          <w:b/>
          <w:color w:val="auto"/>
          <w:sz w:val="21"/>
          <w:szCs w:val="21"/>
        </w:rPr>
      </w:pPr>
      <w:r>
        <w:rPr>
          <w:rFonts w:hint="eastAsia" w:hAnsi="宋体"/>
          <w:b/>
          <w:color w:val="auto"/>
          <w:sz w:val="21"/>
          <w:szCs w:val="21"/>
        </w:rPr>
        <w:t>致：</w:t>
      </w:r>
      <w:r>
        <w:rPr>
          <w:rFonts w:hint="eastAsia" w:hAnsi="宋体"/>
          <w:b/>
          <w:color w:val="auto"/>
          <w:sz w:val="21"/>
          <w:szCs w:val="21"/>
          <w:u w:val="single"/>
          <w:lang w:eastAsia="zh-CN"/>
        </w:rPr>
        <w:t>南方医科大学第七附属医院</w:t>
      </w:r>
      <w:r>
        <w:rPr>
          <w:rFonts w:hint="eastAsia" w:hAnsi="宋体"/>
          <w:b/>
          <w:color w:val="auto"/>
          <w:sz w:val="21"/>
          <w:szCs w:val="21"/>
          <w:u w:val="single"/>
        </w:rPr>
        <w:t xml:space="preserve">/（广东远东招标代理有限公司）  </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rPr>
      </w:pPr>
      <w:r>
        <w:rPr>
          <w:rFonts w:hint="eastAsia" w:hAnsi="宋体"/>
          <w:color w:val="auto"/>
          <w:kern w:val="2"/>
          <w:sz w:val="21"/>
          <w:szCs w:val="21"/>
          <w:lang w:val="zh-CN"/>
        </w:rPr>
        <w:t>根据贵方“</w:t>
      </w:r>
      <w:r>
        <w:rPr>
          <w:rFonts w:hint="eastAsia" w:hAnsi="宋体"/>
          <w:color w:val="auto"/>
          <w:kern w:val="2"/>
          <w:sz w:val="21"/>
          <w:szCs w:val="21"/>
          <w:lang w:eastAsia="zh-CN"/>
        </w:rPr>
        <w:t>洗衣房洗涤用品采购项目（第二次）</w:t>
      </w:r>
      <w:r>
        <w:rPr>
          <w:rFonts w:hAnsi="宋体"/>
          <w:color w:val="auto"/>
          <w:kern w:val="2"/>
          <w:sz w:val="21"/>
          <w:szCs w:val="21"/>
          <w:lang w:val="zh-CN"/>
        </w:rPr>
        <w:t>”</w:t>
      </w:r>
      <w:r>
        <w:rPr>
          <w:rFonts w:hint="eastAsia" w:hAnsi="宋体"/>
          <w:color w:val="auto"/>
          <w:sz w:val="21"/>
          <w:szCs w:val="32"/>
        </w:rPr>
        <w:t>(</w:t>
      </w:r>
      <w:r>
        <w:rPr>
          <w:rFonts w:hint="eastAsia" w:hAnsi="宋体"/>
          <w:color w:val="auto"/>
          <w:kern w:val="2"/>
          <w:sz w:val="21"/>
          <w:szCs w:val="21"/>
          <w:lang w:val="zh-CN"/>
        </w:rPr>
        <w:t>项目编号：NFQYCG2023002)的谈判邀请，我方</w:t>
      </w:r>
      <w:r>
        <w:rPr>
          <w:rFonts w:hint="eastAsia" w:hAnsi="宋体"/>
          <w:color w:val="auto"/>
          <w:kern w:val="2"/>
          <w:sz w:val="21"/>
          <w:szCs w:val="21"/>
          <w:u w:val="single"/>
          <w:lang w:val="zh-CN"/>
        </w:rPr>
        <w:t xml:space="preserve">     （响应供应商名称）</w:t>
      </w:r>
      <w:r>
        <w:rPr>
          <w:rFonts w:hint="eastAsia" w:hAnsi="宋体"/>
          <w:color w:val="auto"/>
          <w:kern w:val="2"/>
          <w:sz w:val="21"/>
          <w:szCs w:val="21"/>
          <w:lang w:val="zh-CN"/>
        </w:rPr>
        <w:t>作为响应供应商正式授权</w:t>
      </w:r>
      <w:r>
        <w:rPr>
          <w:rFonts w:hint="eastAsia" w:hAnsi="宋体"/>
          <w:color w:val="auto"/>
          <w:kern w:val="2"/>
          <w:sz w:val="21"/>
          <w:szCs w:val="21"/>
          <w:u w:val="single"/>
          <w:lang w:val="zh-CN"/>
        </w:rPr>
        <w:t>　　（</w:t>
      </w:r>
      <w:r>
        <w:rPr>
          <w:rFonts w:hint="eastAsia" w:hAnsi="宋体"/>
          <w:color w:val="auto"/>
          <w:kern w:val="2"/>
          <w:sz w:val="21"/>
          <w:szCs w:val="21"/>
          <w:lang w:val="zh-CN"/>
        </w:rPr>
        <w:t>授权代表全名，职务）代表我方进行有关本次报价的一切事宜。</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在此提交的响应文件，已按谈判文件的要求密封封装。包括但不限于如下内容：</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（1）唱标信封【一份】（按谈判文件要求的内容编制）；</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（2）响应文件【含自检表、经济文件和商务技术文件，正本</w:t>
      </w:r>
      <w:r>
        <w:rPr>
          <w:rFonts w:hint="eastAsia" w:hAnsi="宋体"/>
          <w:color w:val="auto"/>
          <w:kern w:val="2"/>
          <w:sz w:val="21"/>
          <w:szCs w:val="21"/>
          <w:u w:val="single"/>
          <w:lang w:val="zh-CN"/>
        </w:rPr>
        <w:t xml:space="preserve">  </w:t>
      </w:r>
      <w:r>
        <w:rPr>
          <w:rFonts w:hint="eastAsia" w:hAnsi="宋体"/>
          <w:color w:val="auto"/>
          <w:kern w:val="2"/>
          <w:sz w:val="21"/>
          <w:szCs w:val="21"/>
          <w:lang w:val="zh-CN"/>
        </w:rPr>
        <w:t>份，副本</w:t>
      </w:r>
      <w:r>
        <w:rPr>
          <w:rFonts w:hint="eastAsia" w:hAnsi="宋体"/>
          <w:color w:val="auto"/>
          <w:kern w:val="2"/>
          <w:sz w:val="21"/>
          <w:szCs w:val="21"/>
          <w:u w:val="single"/>
          <w:lang w:val="zh-CN"/>
        </w:rPr>
        <w:t xml:space="preserve">   </w:t>
      </w:r>
      <w:r>
        <w:rPr>
          <w:rFonts w:hint="eastAsia" w:hAnsi="宋体"/>
          <w:color w:val="auto"/>
          <w:kern w:val="2"/>
          <w:sz w:val="21"/>
          <w:szCs w:val="21"/>
          <w:lang w:val="zh-CN"/>
        </w:rPr>
        <w:t>份】；</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（3）电子文件【</w:t>
      </w:r>
      <w:r>
        <w:rPr>
          <w:rFonts w:hint="eastAsia" w:hAnsi="宋体"/>
          <w:color w:val="auto"/>
          <w:kern w:val="2"/>
          <w:sz w:val="21"/>
          <w:szCs w:val="21"/>
          <w:u w:val="single"/>
          <w:lang w:val="zh-CN"/>
        </w:rPr>
        <w:t xml:space="preserve">   </w:t>
      </w:r>
      <w:r>
        <w:rPr>
          <w:rFonts w:hint="eastAsia" w:hAnsi="宋体"/>
          <w:color w:val="auto"/>
          <w:kern w:val="2"/>
          <w:sz w:val="21"/>
          <w:szCs w:val="21"/>
          <w:lang w:val="zh-CN"/>
        </w:rPr>
        <w:t>份】；</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我方己完全明白谈判文件的所有条款要求，并重申以下几点：</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w:t>
      </w:r>
      <w:r>
        <w:rPr>
          <w:rFonts w:hAnsi="宋体"/>
          <w:color w:val="auto"/>
          <w:kern w:val="2"/>
          <w:sz w:val="21"/>
          <w:szCs w:val="21"/>
          <w:lang w:val="zh-CN"/>
        </w:rPr>
        <w:t>—</w:t>
      </w:r>
      <w:r>
        <w:rPr>
          <w:rFonts w:hint="eastAsia" w:hAnsi="宋体"/>
          <w:color w:val="auto"/>
          <w:kern w:val="2"/>
          <w:sz w:val="21"/>
          <w:szCs w:val="21"/>
          <w:lang w:val="zh-CN"/>
        </w:rPr>
        <w:t>）我方决定参加项目编号为</w:t>
      </w:r>
      <w:r>
        <w:rPr>
          <w:rFonts w:hint="eastAsia" w:hAnsi="宋体"/>
          <w:color w:val="auto"/>
          <w:kern w:val="2"/>
          <w:sz w:val="21"/>
          <w:szCs w:val="21"/>
          <w:u w:val="single"/>
          <w:lang w:val="zh-CN"/>
        </w:rPr>
        <w:t xml:space="preserve">NFQYCG2023002 </w:t>
      </w:r>
      <w:r>
        <w:rPr>
          <w:rFonts w:hint="eastAsia" w:hAnsi="宋体"/>
          <w:color w:val="auto"/>
          <w:kern w:val="2"/>
          <w:sz w:val="21"/>
          <w:szCs w:val="21"/>
          <w:lang w:val="zh-CN"/>
        </w:rPr>
        <w:t>项目的报价；</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（二）本项目的报价（详见报价表）；</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（三）本响应文件的有效期自递交响应文件截止日后</w:t>
      </w:r>
      <w:r>
        <w:rPr>
          <w:rFonts w:hint="eastAsia" w:hAnsi="宋体"/>
          <w:color w:val="auto"/>
          <w:kern w:val="2"/>
          <w:sz w:val="21"/>
          <w:szCs w:val="21"/>
          <w:u w:val="single"/>
          <w:lang w:val="zh-CN"/>
        </w:rPr>
        <w:t xml:space="preserve">    </w:t>
      </w:r>
      <w:r>
        <w:rPr>
          <w:rFonts w:hint="eastAsia" w:hAnsi="宋体"/>
          <w:color w:val="auto"/>
          <w:kern w:val="2"/>
          <w:sz w:val="21"/>
          <w:szCs w:val="21"/>
          <w:lang w:val="zh-CN"/>
        </w:rPr>
        <w:t>天有效，如成交，有效期将延至合同终止日为止；</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（四）我方已详细</w:t>
      </w:r>
      <w:r>
        <w:rPr>
          <w:rFonts w:hint="eastAsia" w:hAnsi="宋体"/>
          <w:color w:val="auto"/>
          <w:sz w:val="21"/>
          <w:szCs w:val="21"/>
        </w:rPr>
        <w:t>阅读并</w:t>
      </w:r>
      <w:r>
        <w:rPr>
          <w:rFonts w:hint="eastAsia" w:hAnsi="宋体"/>
          <w:color w:val="auto"/>
          <w:kern w:val="2"/>
          <w:sz w:val="21"/>
          <w:szCs w:val="21"/>
          <w:lang w:val="zh-CN"/>
        </w:rPr>
        <w:t>研究了谈判文件的所有内容包括修正文、</w:t>
      </w:r>
      <w:r>
        <w:rPr>
          <w:rFonts w:hint="eastAsia" w:hAnsi="宋体"/>
          <w:color w:val="auto"/>
          <w:sz w:val="21"/>
          <w:szCs w:val="21"/>
        </w:rPr>
        <w:t>答疑纪要、澄清补充通知</w:t>
      </w:r>
      <w:r>
        <w:rPr>
          <w:rFonts w:hint="eastAsia" w:hAnsi="宋体"/>
          <w:color w:val="auto"/>
          <w:kern w:val="2"/>
          <w:sz w:val="21"/>
          <w:szCs w:val="21"/>
          <w:lang w:val="zh-CN"/>
        </w:rPr>
        <w:t>（如有）和所有已提供的参考资料以及有关附件，</w:t>
      </w:r>
      <w:r>
        <w:rPr>
          <w:rFonts w:hint="eastAsia" w:hAnsi="宋体"/>
          <w:color w:val="auto"/>
          <w:sz w:val="21"/>
          <w:szCs w:val="21"/>
        </w:rPr>
        <w:t>我们完全清晰理解谈判文件的要求，不存在任何含糊不清和误解之处，</w:t>
      </w:r>
      <w:r>
        <w:rPr>
          <w:rFonts w:hint="eastAsia" w:hAnsi="宋体"/>
          <w:color w:val="auto"/>
          <w:kern w:val="2"/>
          <w:sz w:val="21"/>
          <w:szCs w:val="21"/>
          <w:lang w:val="zh-CN"/>
        </w:rPr>
        <w:t>我方</w:t>
      </w:r>
      <w:r>
        <w:rPr>
          <w:rFonts w:hint="eastAsia" w:hAnsi="宋体"/>
          <w:color w:val="auto"/>
          <w:sz w:val="21"/>
          <w:szCs w:val="21"/>
        </w:rPr>
        <w:t>同意</w:t>
      </w:r>
      <w:r>
        <w:rPr>
          <w:rFonts w:hint="eastAsia" w:hAnsi="宋体"/>
          <w:color w:val="auto"/>
          <w:kern w:val="2"/>
          <w:sz w:val="21"/>
          <w:szCs w:val="21"/>
          <w:lang w:val="zh-CN"/>
        </w:rPr>
        <w:t>放弃在此方面提出含糊意见或误解的一切权力；</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（五）我方明白并愿意在规定的递交响应文件截止时间和日期之后，响应有效期之内撤回报价，则响应保证金将被贵方没收；</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（六）我方同意按照贵方可能提出的要求而提供与报价有关的任何其它数据或信息；</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（七）我方完全服从和尊重谈判小组所作的评定结果，我方理解贵方不一定接受最低报价或任何贵方可能收到的报价；</w:t>
      </w:r>
    </w:p>
    <w:p>
      <w:pPr>
        <w:keepNext w:val="0"/>
        <w:keepLines w:val="0"/>
        <w:pageBreakBefore w:val="0"/>
        <w:widowControl w:val="0"/>
        <w:kinsoku/>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u w:val="single"/>
          <w:lang w:val="zh-CN"/>
        </w:rPr>
      </w:pPr>
      <w:r>
        <w:rPr>
          <w:rFonts w:hint="eastAsia" w:hAnsi="宋体"/>
          <w:color w:val="auto"/>
          <w:kern w:val="2"/>
          <w:sz w:val="21"/>
          <w:szCs w:val="21"/>
          <w:lang w:val="zh-CN"/>
        </w:rPr>
        <w:t>（八）我方如果成交，将保证履行谈判文件以及</w:t>
      </w:r>
      <w:r>
        <w:rPr>
          <w:rFonts w:hint="eastAsia" w:hAnsi="宋体"/>
          <w:color w:val="auto"/>
          <w:sz w:val="21"/>
          <w:szCs w:val="21"/>
        </w:rPr>
        <w:t>答疑纪要、澄清补充通知等</w:t>
      </w:r>
      <w:r>
        <w:rPr>
          <w:rFonts w:hint="eastAsia" w:hAnsi="宋体"/>
          <w:color w:val="auto"/>
          <w:kern w:val="2"/>
          <w:sz w:val="21"/>
          <w:szCs w:val="21"/>
          <w:lang w:val="zh-CN"/>
        </w:rPr>
        <w:t>谈判文件修改书（如有）中的全部责任和义务，按质、按量、按期完成《合同书》中的全部任</w:t>
      </w:r>
      <w:r>
        <w:rPr>
          <w:rFonts w:hint="eastAsia" w:hAnsi="宋体"/>
          <w:color w:val="auto"/>
          <w:sz w:val="21"/>
          <w:szCs w:val="21"/>
        </w:rPr>
        <w:t>务</w:t>
      </w:r>
      <w:r>
        <w:rPr>
          <w:rFonts w:hint="eastAsia" w:hAnsi="宋体"/>
          <w:b/>
          <w:color w:val="auto"/>
          <w:kern w:val="2"/>
          <w:sz w:val="21"/>
          <w:szCs w:val="21"/>
          <w:lang w:val="zh-CN"/>
        </w:rPr>
        <w:t>。</w:t>
      </w:r>
      <w:r>
        <w:rPr>
          <w:rFonts w:hint="eastAsia" w:hAnsi="宋体"/>
          <w:color w:val="auto"/>
          <w:kern w:val="2"/>
          <w:sz w:val="21"/>
          <w:szCs w:val="21"/>
          <w:lang w:val="zh-CN"/>
        </w:rPr>
        <w:t>其中交货时间为：</w:t>
      </w:r>
      <w:r>
        <w:rPr>
          <w:rFonts w:hint="eastAsia" w:hAnsi="宋体"/>
          <w:color w:val="auto"/>
          <w:kern w:val="2"/>
          <w:sz w:val="21"/>
          <w:szCs w:val="21"/>
          <w:u w:val="single"/>
          <w:lang w:val="zh-CN"/>
        </w:rPr>
        <w:t xml:space="preserve">          </w:t>
      </w:r>
      <w:r>
        <w:rPr>
          <w:rFonts w:hint="eastAsia" w:hAnsi="宋体"/>
          <w:color w:val="auto"/>
          <w:kern w:val="2"/>
          <w:sz w:val="21"/>
          <w:szCs w:val="21"/>
          <w:lang w:val="zh-CN"/>
        </w:rPr>
        <w:t>；质保期为：</w:t>
      </w:r>
      <w:r>
        <w:rPr>
          <w:rFonts w:hint="eastAsia" w:hAnsi="宋体"/>
          <w:color w:val="auto"/>
          <w:kern w:val="2"/>
          <w:sz w:val="21"/>
          <w:szCs w:val="21"/>
          <w:u w:val="single"/>
          <w:lang w:val="zh-CN"/>
        </w:rPr>
        <w:t xml:space="preserve">          。</w:t>
      </w:r>
    </w:p>
    <w:p>
      <w:pPr>
        <w:keepNext w:val="0"/>
        <w:keepLines w:val="0"/>
        <w:pageBreakBefore w:val="0"/>
        <w:widowControl w:val="0"/>
        <w:kinsoku/>
        <w:wordWrap w:val="0"/>
        <w:overflowPunct/>
        <w:topLinePunct w:val="0"/>
        <w:autoSpaceDE w:val="0"/>
        <w:autoSpaceDN w:val="0"/>
        <w:bidi w:val="0"/>
        <w:adjustRightInd w:val="0"/>
        <w:snapToGrid/>
        <w:spacing w:line="380" w:lineRule="exact"/>
        <w:ind w:firstLine="420" w:firstLineChars="200"/>
        <w:jc w:val="both"/>
        <w:textAlignment w:val="auto"/>
        <w:outlineLvl w:val="9"/>
        <w:rPr>
          <w:rFonts w:hAnsi="宋体"/>
          <w:color w:val="auto"/>
          <w:kern w:val="2"/>
          <w:sz w:val="21"/>
          <w:szCs w:val="21"/>
          <w:lang w:val="zh-CN"/>
        </w:rPr>
      </w:pPr>
      <w:r>
        <w:rPr>
          <w:rFonts w:hint="eastAsia" w:hAnsi="宋体"/>
          <w:color w:val="auto"/>
          <w:kern w:val="2"/>
          <w:sz w:val="21"/>
          <w:szCs w:val="21"/>
          <w:lang w:val="zh-CN"/>
        </w:rPr>
        <w:t>（九）所有与本报价有关的函件请发往下列地址：</w:t>
      </w:r>
    </w:p>
    <w:p>
      <w:pPr>
        <w:kinsoku/>
        <w:wordWrap w:val="0"/>
        <w:overflowPunct/>
        <w:topLinePunct w:val="0"/>
        <w:bidi w:val="0"/>
        <w:spacing w:line="300" w:lineRule="exact"/>
        <w:jc w:val="both"/>
        <w:outlineLvl w:val="9"/>
        <w:rPr>
          <w:rFonts w:hAnsi="宋体"/>
          <w:color w:val="auto"/>
          <w:kern w:val="2"/>
          <w:sz w:val="21"/>
          <w:szCs w:val="21"/>
          <w:u w:val="single"/>
          <w:lang w:val="zh-CN"/>
        </w:rPr>
      </w:pPr>
      <w:r>
        <w:rPr>
          <w:rFonts w:hint="eastAsia" w:hAnsi="宋体"/>
          <w:color w:val="auto"/>
          <w:kern w:val="2"/>
          <w:sz w:val="21"/>
          <w:szCs w:val="21"/>
          <w:lang w:val="zh-CN"/>
        </w:rPr>
        <w:t>地　址：</w:t>
      </w:r>
      <w:r>
        <w:rPr>
          <w:rFonts w:hint="eastAsia" w:hAnsi="宋体"/>
          <w:color w:val="auto"/>
          <w:kern w:val="2"/>
          <w:sz w:val="21"/>
          <w:szCs w:val="21"/>
          <w:u w:val="single"/>
          <w:lang w:val="zh-CN"/>
        </w:rPr>
        <w:t>　　　　　　　　　　　</w:t>
      </w:r>
      <w:r>
        <w:rPr>
          <w:rFonts w:hAnsi="宋体"/>
          <w:color w:val="auto"/>
          <w:kern w:val="2"/>
          <w:sz w:val="21"/>
          <w:szCs w:val="21"/>
          <w:lang w:val="zh-CN"/>
        </w:rPr>
        <w:tab/>
      </w:r>
      <w:r>
        <w:rPr>
          <w:rFonts w:hAnsi="宋体"/>
          <w:color w:val="auto"/>
          <w:kern w:val="2"/>
          <w:sz w:val="21"/>
          <w:szCs w:val="21"/>
          <w:lang w:val="zh-CN"/>
        </w:rPr>
        <w:tab/>
      </w:r>
      <w:r>
        <w:rPr>
          <w:rFonts w:hint="eastAsia" w:hAnsi="宋体"/>
          <w:color w:val="auto"/>
          <w:kern w:val="2"/>
          <w:sz w:val="21"/>
          <w:szCs w:val="21"/>
          <w:lang w:val="zh-CN"/>
        </w:rPr>
        <w:t>邮政编码：</w:t>
      </w:r>
      <w:r>
        <w:rPr>
          <w:rFonts w:hint="eastAsia" w:hAnsi="宋体"/>
          <w:color w:val="auto"/>
          <w:kern w:val="2"/>
          <w:sz w:val="21"/>
          <w:szCs w:val="21"/>
          <w:u w:val="single"/>
          <w:lang w:val="zh-CN"/>
        </w:rPr>
        <w:t xml:space="preserve">　　　　　　　　　　 </w:t>
      </w:r>
    </w:p>
    <w:p>
      <w:pPr>
        <w:kinsoku/>
        <w:wordWrap w:val="0"/>
        <w:overflowPunct/>
        <w:topLinePunct w:val="0"/>
        <w:bidi w:val="0"/>
        <w:spacing w:line="300" w:lineRule="exact"/>
        <w:jc w:val="both"/>
        <w:outlineLvl w:val="9"/>
        <w:rPr>
          <w:rFonts w:hAnsi="宋体"/>
          <w:color w:val="auto"/>
          <w:kern w:val="2"/>
          <w:sz w:val="21"/>
          <w:szCs w:val="21"/>
          <w:lang w:val="zh-CN"/>
        </w:rPr>
      </w:pPr>
      <w:r>
        <w:rPr>
          <w:rFonts w:hint="eastAsia" w:hAnsi="宋体"/>
          <w:color w:val="auto"/>
          <w:kern w:val="2"/>
          <w:sz w:val="21"/>
          <w:szCs w:val="21"/>
          <w:lang w:val="zh-CN"/>
        </w:rPr>
        <w:t>电　　话：</w:t>
      </w:r>
      <w:r>
        <w:rPr>
          <w:rFonts w:hint="eastAsia" w:hAnsi="宋体"/>
          <w:color w:val="auto"/>
          <w:kern w:val="2"/>
          <w:sz w:val="21"/>
          <w:szCs w:val="21"/>
          <w:u w:val="single"/>
          <w:lang w:val="zh-CN"/>
        </w:rPr>
        <w:t>　　　　　　　　　　　</w:t>
      </w:r>
      <w:r>
        <w:rPr>
          <w:rFonts w:hAnsi="宋体"/>
          <w:color w:val="auto"/>
          <w:kern w:val="2"/>
          <w:sz w:val="21"/>
          <w:szCs w:val="21"/>
          <w:lang w:val="zh-CN"/>
        </w:rPr>
        <w:tab/>
      </w:r>
      <w:r>
        <w:rPr>
          <w:rFonts w:hAnsi="宋体"/>
          <w:color w:val="auto"/>
          <w:kern w:val="2"/>
          <w:sz w:val="21"/>
          <w:szCs w:val="21"/>
          <w:lang w:val="zh-CN"/>
        </w:rPr>
        <w:tab/>
      </w:r>
      <w:r>
        <w:rPr>
          <w:rFonts w:hint="eastAsia" w:hAnsi="宋体"/>
          <w:color w:val="auto"/>
          <w:kern w:val="2"/>
          <w:sz w:val="21"/>
          <w:szCs w:val="21"/>
          <w:lang w:val="zh-CN"/>
        </w:rPr>
        <w:t>代表姓名：</w:t>
      </w:r>
      <w:r>
        <w:rPr>
          <w:rFonts w:hint="eastAsia" w:hAnsi="宋体"/>
          <w:color w:val="auto"/>
          <w:kern w:val="2"/>
          <w:sz w:val="21"/>
          <w:szCs w:val="21"/>
          <w:u w:val="single"/>
          <w:lang w:val="zh-CN"/>
        </w:rPr>
        <w:t>　　　　　　　　　 　</w:t>
      </w:r>
    </w:p>
    <w:p>
      <w:pPr>
        <w:kinsoku/>
        <w:overflowPunct/>
        <w:topLinePunct w:val="0"/>
        <w:bidi w:val="0"/>
        <w:snapToGrid w:val="0"/>
        <w:spacing w:line="440" w:lineRule="exact"/>
        <w:outlineLvl w:val="9"/>
        <w:rPr>
          <w:rFonts w:hint="eastAsia" w:hAnsi="宋体"/>
          <w:color w:val="auto"/>
          <w:sz w:val="21"/>
          <w:szCs w:val="21"/>
          <w:lang w:eastAsia="zh-CN"/>
        </w:rPr>
      </w:pPr>
      <w:bookmarkStart w:id="59" w:name="_Toc382840853"/>
      <w:bookmarkStart w:id="60" w:name="_Toc382926905"/>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440" w:lineRule="exact"/>
        <w:outlineLvl w:val="9"/>
        <w:rPr>
          <w:rFonts w:hAnsi="宋体"/>
          <w:color w:val="auto"/>
          <w:sz w:val="21"/>
          <w:szCs w:val="21"/>
        </w:rPr>
      </w:pPr>
    </w:p>
    <w:p>
      <w:pPr>
        <w:kinsoku/>
        <w:overflowPunct/>
        <w:topLinePunct w:val="0"/>
        <w:bidi w:val="0"/>
        <w:spacing w:after="120" w:line="480" w:lineRule="exact"/>
        <w:outlineLvl w:val="9"/>
        <w:rPr>
          <w:rFonts w:hAnsi="宋体"/>
          <w:b/>
          <w:color w:val="auto"/>
          <w:sz w:val="21"/>
          <w:szCs w:val="20"/>
        </w:rPr>
      </w:pPr>
      <w:r>
        <w:rPr>
          <w:rFonts w:hint="eastAsia" w:hAnsi="宋体"/>
          <w:b/>
          <w:color w:val="auto"/>
          <w:sz w:val="21"/>
          <w:szCs w:val="20"/>
        </w:rPr>
        <w:t xml:space="preserve">附表2.2.1 </w:t>
      </w:r>
      <w:r>
        <w:rPr>
          <w:rFonts w:hint="eastAsia" w:hAnsi="宋体"/>
          <w:b/>
          <w:color w:val="auto"/>
          <w:sz w:val="21"/>
          <w:szCs w:val="20"/>
          <w:lang w:eastAsia="zh-CN"/>
        </w:rPr>
        <w:t>响应供应商</w:t>
      </w:r>
      <w:r>
        <w:rPr>
          <w:rFonts w:hint="eastAsia" w:hAnsi="宋体"/>
          <w:b/>
          <w:color w:val="auto"/>
          <w:sz w:val="21"/>
          <w:szCs w:val="20"/>
        </w:rPr>
        <w:t>资格声明书格式</w:t>
      </w:r>
      <w:bookmarkEnd w:id="59"/>
      <w:bookmarkEnd w:id="60"/>
    </w:p>
    <w:p>
      <w:pPr>
        <w:pStyle w:val="30"/>
        <w:kinsoku/>
        <w:overflowPunct/>
        <w:topLinePunct w:val="0"/>
        <w:bidi w:val="0"/>
        <w:spacing w:line="480" w:lineRule="exact"/>
        <w:jc w:val="center"/>
        <w:outlineLvl w:val="9"/>
        <w:rPr>
          <w:rFonts w:hAnsi="宋体"/>
          <w:b/>
          <w:bCs/>
          <w:color w:val="auto"/>
          <w:sz w:val="24"/>
          <w:szCs w:val="32"/>
        </w:rPr>
      </w:pPr>
      <w:r>
        <w:rPr>
          <w:rFonts w:hint="eastAsia" w:hAnsi="宋体"/>
          <w:b/>
          <w:bCs/>
          <w:color w:val="auto"/>
          <w:sz w:val="24"/>
          <w:szCs w:val="32"/>
        </w:rPr>
        <w:t>资格声明书</w:t>
      </w:r>
    </w:p>
    <w:p>
      <w:pPr>
        <w:pStyle w:val="30"/>
        <w:kinsoku/>
        <w:overflowPunct/>
        <w:topLinePunct w:val="0"/>
        <w:bidi w:val="0"/>
        <w:spacing w:line="480" w:lineRule="exact"/>
        <w:outlineLvl w:val="9"/>
        <w:rPr>
          <w:rFonts w:hAnsi="宋体"/>
          <w:color w:val="auto"/>
        </w:rPr>
      </w:pPr>
      <w:r>
        <w:rPr>
          <w:rFonts w:hint="eastAsia" w:hAnsi="宋体"/>
          <w:b/>
          <w:color w:val="auto"/>
        </w:rPr>
        <w:t>致：</w:t>
      </w:r>
      <w:r>
        <w:rPr>
          <w:rFonts w:hint="eastAsia" w:hAnsi="宋体"/>
          <w:b/>
          <w:color w:val="auto"/>
          <w:u w:val="single"/>
          <w:lang w:eastAsia="zh-CN"/>
        </w:rPr>
        <w:t>南方医科大学第七附属医院</w:t>
      </w:r>
      <w:r>
        <w:rPr>
          <w:rFonts w:hint="eastAsia" w:hAnsi="宋体"/>
          <w:b/>
          <w:color w:val="auto"/>
          <w:u w:val="single"/>
        </w:rPr>
        <w:t xml:space="preserve"> / 广东远东招标代理有限公司 </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为响应你方组织的“</w:t>
      </w:r>
      <w:r>
        <w:rPr>
          <w:rFonts w:hint="eastAsia" w:hAnsi="宋体"/>
          <w:b/>
          <w:color w:val="auto"/>
          <w:szCs w:val="21"/>
          <w:u w:val="single"/>
          <w:lang w:eastAsia="zh-CN"/>
        </w:rPr>
        <w:t>洗衣房洗涤用品采购项目（第二次）</w:t>
      </w:r>
      <w:r>
        <w:rPr>
          <w:rFonts w:hint="eastAsia" w:hAnsi="宋体"/>
          <w:color w:val="auto"/>
          <w:szCs w:val="21"/>
        </w:rPr>
        <w:t>”的招标[采购编号为：</w:t>
      </w:r>
      <w:r>
        <w:rPr>
          <w:rFonts w:hint="eastAsia" w:hAnsi="宋体"/>
          <w:b/>
          <w:color w:val="auto"/>
          <w:szCs w:val="21"/>
          <w:u w:val="single"/>
          <w:lang w:eastAsia="zh-CN"/>
        </w:rPr>
        <w:t>NFQYCG2023002</w:t>
      </w:r>
      <w:r>
        <w:rPr>
          <w:rFonts w:hint="eastAsia" w:hAnsi="宋体"/>
          <w:color w:val="auto"/>
          <w:szCs w:val="21"/>
        </w:rPr>
        <w:t>]，我方愿参与投标并作出如下声明：</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一、我方作为</w:t>
      </w:r>
      <w:r>
        <w:rPr>
          <w:rFonts w:hint="eastAsia" w:hAnsi="宋体"/>
          <w:color w:val="auto"/>
          <w:szCs w:val="21"/>
          <w:u w:val="single"/>
        </w:rPr>
        <w:t xml:space="preserve">   （</w:t>
      </w:r>
      <w:r>
        <w:rPr>
          <w:rFonts w:hint="eastAsia" w:hAnsi="宋体"/>
          <w:color w:val="auto"/>
          <w:szCs w:val="21"/>
          <w:u w:val="single"/>
          <w:lang w:eastAsia="zh-CN"/>
        </w:rPr>
        <w:t>响应供应商</w:t>
      </w:r>
      <w:r>
        <w:rPr>
          <w:rFonts w:hint="eastAsia" w:hAnsi="宋体"/>
          <w:color w:val="auto"/>
          <w:szCs w:val="21"/>
          <w:u w:val="single"/>
        </w:rPr>
        <w:t xml:space="preserve">名称）   </w:t>
      </w:r>
      <w:r>
        <w:rPr>
          <w:rFonts w:hint="eastAsia" w:hAnsi="宋体"/>
          <w:color w:val="auto"/>
          <w:szCs w:val="21"/>
        </w:rPr>
        <w:t>是在法律、财务和运作上独立于采购人、采购代理机构的</w:t>
      </w:r>
      <w:r>
        <w:rPr>
          <w:rFonts w:hint="eastAsia" w:hAnsi="宋体"/>
          <w:color w:val="auto"/>
          <w:szCs w:val="21"/>
          <w:lang w:eastAsia="zh-CN"/>
        </w:rPr>
        <w:t>响应供应商</w:t>
      </w:r>
      <w:r>
        <w:rPr>
          <w:rFonts w:hint="eastAsia" w:hAnsi="宋体"/>
          <w:color w:val="auto"/>
          <w:szCs w:val="21"/>
        </w:rPr>
        <w:t>，提交所有文件和全部说明是真实的和正确的。</w:t>
      </w:r>
    </w:p>
    <w:p>
      <w:pPr>
        <w:pStyle w:val="11"/>
        <w:kinsoku/>
        <w:overflowPunct/>
        <w:topLinePunct w:val="0"/>
        <w:bidi w:val="0"/>
        <w:spacing w:line="460" w:lineRule="exact"/>
        <w:ind w:firstLine="420" w:firstLineChars="200"/>
        <w:outlineLvl w:val="9"/>
        <w:rPr>
          <w:rFonts w:hAnsi="宋体"/>
          <w:color w:val="auto"/>
          <w:szCs w:val="21"/>
        </w:rPr>
      </w:pPr>
      <w:r>
        <w:rPr>
          <w:rFonts w:hint="eastAsia" w:hAnsi="宋体"/>
          <w:color w:val="auto"/>
          <w:szCs w:val="21"/>
        </w:rPr>
        <w:t>二、本公司（企业）具备《中华人民共和国政府采购法》第二十二条规定的条件：</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（一）具有独立承担民事责任的能力；</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（二）具有良好的商业信誉和健全的财务会计制度；</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（三）具有履行合同所必需的设备和专业技术能力；</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（四）有依法缴纳税收和社会保障资金的良好记录；</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（五）参加政府采购活动前三年内，在经营活动中没有重大违法记录；</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（六）法律、行政法规规定的其他条件。</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三、本公司（企业）的单位负责人与所参投的本采购项目的其他投标人的单位负责人不为同一人且与其他投标人之间不存在直接控股、管理关系。</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五、本公司（企业）承诺在本次招标采购活动中，如有违法、违规、弄虚作假行为，所造成的损失、不良后果及法律责任，一律由我公司（企业）承担。</w:t>
      </w:r>
    </w:p>
    <w:p>
      <w:pPr>
        <w:pStyle w:val="11"/>
        <w:kinsoku/>
        <w:overflowPunct/>
        <w:topLinePunct w:val="0"/>
        <w:bidi w:val="0"/>
        <w:spacing w:line="460" w:lineRule="exact"/>
        <w:ind w:firstLine="420"/>
        <w:outlineLvl w:val="9"/>
        <w:rPr>
          <w:rFonts w:hAnsi="宋体"/>
          <w:color w:val="auto"/>
          <w:szCs w:val="21"/>
        </w:rPr>
      </w:pPr>
      <w:r>
        <w:rPr>
          <w:rFonts w:hint="eastAsia" w:hAnsi="宋体"/>
          <w:color w:val="auto"/>
          <w:szCs w:val="21"/>
        </w:rPr>
        <w:t>六、我方理解你方可能还要求提供更进一步的资格资料，并愿意应你方的要求提交。</w:t>
      </w:r>
    </w:p>
    <w:p>
      <w:pPr>
        <w:pStyle w:val="30"/>
        <w:kinsoku/>
        <w:overflowPunct/>
        <w:topLinePunct w:val="0"/>
        <w:bidi w:val="0"/>
        <w:spacing w:line="480" w:lineRule="exact"/>
        <w:outlineLvl w:val="9"/>
        <w:rPr>
          <w:rFonts w:hAnsi="宋体"/>
          <w:color w:val="auto"/>
        </w:rPr>
      </w:pPr>
    </w:p>
    <w:p>
      <w:pPr>
        <w:pStyle w:val="30"/>
        <w:kinsoku/>
        <w:overflowPunct/>
        <w:topLinePunct w:val="0"/>
        <w:bidi w:val="0"/>
        <w:spacing w:line="480" w:lineRule="exact"/>
        <w:outlineLvl w:val="9"/>
        <w:rPr>
          <w:rFonts w:hAnsi="宋体"/>
          <w:color w:val="auto"/>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pStyle w:val="30"/>
        <w:kinsoku/>
        <w:overflowPunct/>
        <w:topLinePunct w:val="0"/>
        <w:bidi w:val="0"/>
        <w:spacing w:line="480" w:lineRule="exact"/>
        <w:outlineLvl w:val="9"/>
        <w:rPr>
          <w:rFonts w:hAnsi="宋体"/>
          <w:color w:val="auto"/>
        </w:rPr>
      </w:pPr>
    </w:p>
    <w:p>
      <w:pPr>
        <w:pStyle w:val="30"/>
        <w:kinsoku/>
        <w:overflowPunct/>
        <w:topLinePunct w:val="0"/>
        <w:bidi w:val="0"/>
        <w:spacing w:line="480" w:lineRule="exact"/>
        <w:outlineLvl w:val="9"/>
        <w:rPr>
          <w:rFonts w:hAnsi="宋体"/>
          <w:color w:val="auto"/>
        </w:rPr>
      </w:pPr>
    </w:p>
    <w:p>
      <w:pPr>
        <w:kinsoku/>
        <w:overflowPunct/>
        <w:topLinePunct w:val="0"/>
        <w:bidi w:val="0"/>
        <w:spacing w:before="120" w:after="120"/>
        <w:jc w:val="both"/>
        <w:outlineLvl w:val="9"/>
        <w:rPr>
          <w:rFonts w:hAnsi="宋体"/>
          <w:b/>
          <w:color w:val="auto"/>
          <w:sz w:val="21"/>
          <w:szCs w:val="20"/>
        </w:rPr>
      </w:pPr>
      <w:bookmarkStart w:id="61" w:name="_Hlt10549792"/>
      <w:bookmarkEnd w:id="61"/>
      <w:bookmarkStart w:id="62" w:name="_Toc382926906"/>
      <w:bookmarkStart w:id="63" w:name="_Toc382840854"/>
      <w:bookmarkStart w:id="64" w:name="_Toc10548701"/>
      <w:r>
        <w:rPr>
          <w:rFonts w:hint="eastAsia" w:hAnsi="宋体"/>
          <w:b/>
          <w:color w:val="auto"/>
          <w:sz w:val="21"/>
          <w:szCs w:val="20"/>
        </w:rPr>
        <w:t>附表2.2.2 法定代表人证明书格式</w:t>
      </w:r>
      <w:bookmarkEnd w:id="62"/>
      <w:bookmarkEnd w:id="63"/>
    </w:p>
    <w:p>
      <w:pPr>
        <w:kinsoku/>
        <w:overflowPunct/>
        <w:topLinePunct w:val="0"/>
        <w:bidi w:val="0"/>
        <w:spacing w:line="480" w:lineRule="exact"/>
        <w:jc w:val="center"/>
        <w:outlineLvl w:val="9"/>
        <w:rPr>
          <w:rFonts w:hAnsi="宋体"/>
          <w:b/>
          <w:color w:val="auto"/>
          <w:sz w:val="28"/>
          <w:szCs w:val="28"/>
        </w:rPr>
      </w:pPr>
    </w:p>
    <w:p>
      <w:pPr>
        <w:kinsoku/>
        <w:overflowPunct/>
        <w:topLinePunct w:val="0"/>
        <w:bidi w:val="0"/>
        <w:spacing w:line="480" w:lineRule="exact"/>
        <w:jc w:val="center"/>
        <w:outlineLvl w:val="9"/>
        <w:rPr>
          <w:rFonts w:hAnsi="宋体"/>
          <w:b/>
          <w:color w:val="auto"/>
          <w:sz w:val="28"/>
          <w:szCs w:val="28"/>
        </w:rPr>
      </w:pPr>
      <w:r>
        <w:rPr>
          <w:rFonts w:hint="eastAsia" w:hAnsi="宋体"/>
          <w:b/>
          <w:color w:val="auto"/>
          <w:sz w:val="28"/>
          <w:szCs w:val="28"/>
        </w:rPr>
        <w:t>法定代表人/负责人资格证明书</w:t>
      </w:r>
    </w:p>
    <w:p>
      <w:pPr>
        <w:kinsoku/>
        <w:overflowPunct/>
        <w:topLinePunct w:val="0"/>
        <w:bidi w:val="0"/>
        <w:spacing w:line="480" w:lineRule="exact"/>
        <w:outlineLvl w:val="9"/>
        <w:rPr>
          <w:rFonts w:hAnsi="宋体"/>
          <w:color w:val="auto"/>
          <w:sz w:val="21"/>
          <w:szCs w:val="21"/>
        </w:rPr>
      </w:pPr>
    </w:p>
    <w:p>
      <w:pPr>
        <w:kinsoku/>
        <w:overflowPunct/>
        <w:topLinePunct w:val="0"/>
        <w:bidi w:val="0"/>
        <w:spacing w:line="480" w:lineRule="exact"/>
        <w:outlineLvl w:val="9"/>
        <w:rPr>
          <w:rFonts w:hAnsi="宋体"/>
          <w:b/>
          <w:color w:val="auto"/>
          <w:sz w:val="21"/>
          <w:szCs w:val="21"/>
        </w:rPr>
      </w:pPr>
      <w:r>
        <w:rPr>
          <w:rFonts w:hint="eastAsia" w:hAnsi="宋体"/>
          <w:b/>
          <w:color w:val="auto"/>
          <w:sz w:val="21"/>
          <w:szCs w:val="21"/>
        </w:rPr>
        <w:t>致：</w:t>
      </w:r>
      <w:r>
        <w:rPr>
          <w:rFonts w:hint="eastAsia" w:hAnsi="宋体"/>
          <w:b/>
          <w:color w:val="auto"/>
          <w:sz w:val="21"/>
          <w:szCs w:val="21"/>
          <w:lang w:eastAsia="zh-CN"/>
        </w:rPr>
        <w:t>南方医科大学第七附属医院</w:t>
      </w:r>
      <w:r>
        <w:rPr>
          <w:rFonts w:hint="eastAsia" w:hAnsi="宋体"/>
          <w:b/>
          <w:color w:val="auto"/>
          <w:sz w:val="21"/>
          <w:szCs w:val="21"/>
        </w:rPr>
        <w:t xml:space="preserve"> / 广东远东招标代理有限公司</w:t>
      </w:r>
    </w:p>
    <w:p>
      <w:pPr>
        <w:kinsoku/>
        <w:overflowPunct/>
        <w:topLinePunct w:val="0"/>
        <w:bidi w:val="0"/>
        <w:outlineLvl w:val="9"/>
        <w:rPr>
          <w:rFonts w:hAnsi="宋体"/>
          <w:color w:val="auto"/>
          <w:sz w:val="21"/>
          <w:szCs w:val="21"/>
        </w:rPr>
      </w:pPr>
    </w:p>
    <w:p>
      <w:pPr>
        <w:kinsoku/>
        <w:overflowPunct/>
        <w:topLinePunct w:val="0"/>
        <w:bidi w:val="0"/>
        <w:spacing w:line="440" w:lineRule="exact"/>
        <w:outlineLvl w:val="9"/>
        <w:rPr>
          <w:rFonts w:hAnsi="宋体"/>
          <w:color w:val="auto"/>
          <w:sz w:val="21"/>
          <w:szCs w:val="21"/>
        </w:rPr>
      </w:pPr>
      <w:r>
        <w:rPr>
          <w:rFonts w:hint="eastAsia" w:hAnsi="宋体"/>
          <w:color w:val="auto"/>
          <w:sz w:val="21"/>
          <w:szCs w:val="21"/>
          <w:u w:val="single"/>
        </w:rPr>
        <w:t xml:space="preserve">      </w:t>
      </w:r>
      <w:r>
        <w:rPr>
          <w:rFonts w:hint="eastAsia" w:hAnsi="宋体"/>
          <w:color w:val="auto"/>
          <w:sz w:val="21"/>
          <w:szCs w:val="21"/>
        </w:rPr>
        <w:t>同志，现任我单位</w:t>
      </w:r>
      <w:r>
        <w:rPr>
          <w:rFonts w:hint="eastAsia" w:hAnsi="宋体"/>
          <w:color w:val="auto"/>
          <w:sz w:val="21"/>
          <w:szCs w:val="21"/>
          <w:u w:val="single"/>
        </w:rPr>
        <w:t xml:space="preserve">            </w:t>
      </w:r>
      <w:r>
        <w:rPr>
          <w:rFonts w:hint="eastAsia" w:hAnsi="宋体"/>
          <w:color w:val="auto"/>
          <w:sz w:val="21"/>
          <w:szCs w:val="21"/>
        </w:rPr>
        <w:t>职务，为法定代表人，特此证明。</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签发日期：                  单位：（</w:t>
      </w:r>
      <w:r>
        <w:rPr>
          <w:rFonts w:hint="eastAsia" w:hAnsi="宋体"/>
          <w:color w:val="auto"/>
          <w:kern w:val="2"/>
          <w:sz w:val="21"/>
          <w:szCs w:val="21"/>
          <w:lang w:val="zh-CN"/>
        </w:rPr>
        <w:t>加盖法人公章</w:t>
      </w:r>
      <w:r>
        <w:rPr>
          <w:rFonts w:hint="eastAsia" w:hAnsi="宋体"/>
          <w:color w:val="auto"/>
          <w:sz w:val="21"/>
          <w:szCs w:val="21"/>
        </w:rPr>
        <w:t>）</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附：代表人性别：            年龄：           身份证号码：</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联系电话：</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营业执照号码：                       经济性质：</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主营（产）：</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兼营（产）：</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进口物品经营许可证号码：</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主营：</w:t>
      </w:r>
    </w:p>
    <w:p>
      <w:pPr>
        <w:kinsoku/>
        <w:overflowPunct/>
        <w:topLinePunct w:val="0"/>
        <w:bidi w:val="0"/>
        <w:spacing w:line="440" w:lineRule="exact"/>
        <w:ind w:firstLine="210" w:firstLineChars="100"/>
        <w:outlineLvl w:val="9"/>
        <w:rPr>
          <w:rFonts w:hAnsi="宋体"/>
          <w:color w:val="auto"/>
          <w:sz w:val="21"/>
          <w:szCs w:val="21"/>
        </w:rPr>
      </w:pPr>
      <w:r>
        <w:rPr>
          <w:rFonts w:hint="eastAsia" w:hAnsi="宋体"/>
          <w:color w:val="auto"/>
          <w:sz w:val="21"/>
          <w:szCs w:val="21"/>
        </w:rPr>
        <w:t>兼营：</w:t>
      </w:r>
    </w:p>
    <w:p>
      <w:pPr>
        <w:kinsoku/>
        <w:overflowPunct/>
        <w:topLinePunct w:val="0"/>
        <w:bidi w:val="0"/>
        <w:spacing w:line="440" w:lineRule="exact"/>
        <w:outlineLvl w:val="9"/>
        <w:rPr>
          <w:rFonts w:hAnsi="宋体"/>
          <w:color w:val="auto"/>
          <w:sz w:val="21"/>
          <w:szCs w:val="21"/>
        </w:rPr>
      </w:pPr>
      <w:r>
        <w:rPr>
          <w:rFonts w:hint="eastAsia" w:hAnsi="宋体"/>
          <w:color w:val="auto"/>
          <w:sz w:val="21"/>
          <w:szCs w:val="21"/>
        </w:rPr>
        <w:t>说明：1.法定代表人为企业事业单位、国家机关、社会团体的主要行政负责人。</w:t>
      </w:r>
    </w:p>
    <w:p>
      <w:pPr>
        <w:kinsoku/>
        <w:overflowPunct/>
        <w:topLinePunct w:val="0"/>
        <w:bidi w:val="0"/>
        <w:spacing w:line="440" w:lineRule="exact"/>
        <w:outlineLvl w:val="9"/>
        <w:rPr>
          <w:rFonts w:hAnsi="宋体"/>
          <w:color w:val="auto"/>
          <w:sz w:val="21"/>
          <w:szCs w:val="21"/>
        </w:rPr>
      </w:pPr>
      <w:r>
        <w:rPr>
          <w:rFonts w:hint="eastAsia" w:hAnsi="宋体"/>
          <w:color w:val="auto"/>
          <w:sz w:val="21"/>
          <w:szCs w:val="21"/>
        </w:rPr>
        <w:t xml:space="preserve">      2.内容必须填写真实、清楚、涂改无效，不得转让、买卖。</w:t>
      </w:r>
    </w:p>
    <w:p>
      <w:pPr>
        <w:kinsoku/>
        <w:overflowPunct/>
        <w:topLinePunct w:val="0"/>
        <w:bidi w:val="0"/>
        <w:spacing w:line="440" w:lineRule="exact"/>
        <w:ind w:firstLine="630" w:firstLineChars="300"/>
        <w:outlineLvl w:val="9"/>
        <w:rPr>
          <w:rFonts w:hAnsi="宋体"/>
          <w:color w:val="auto"/>
          <w:sz w:val="21"/>
          <w:szCs w:val="21"/>
        </w:rPr>
      </w:pPr>
      <w:r>
        <w:rPr>
          <w:rFonts w:hint="eastAsia" w:hAnsi="宋体"/>
          <w:color w:val="auto"/>
          <w:sz w:val="21"/>
          <w:szCs w:val="21"/>
        </w:rPr>
        <w:t>3.将此证明书提交对方作为合同附件</w:t>
      </w:r>
      <w:r>
        <w:rPr>
          <w:rFonts w:hint="eastAsia" w:hAnsi="宋体"/>
          <w:b/>
          <w:color w:val="auto"/>
          <w:sz w:val="21"/>
          <w:szCs w:val="21"/>
        </w:rPr>
        <w:t>。</w:t>
      </w:r>
    </w:p>
    <w:p>
      <w:pPr>
        <w:kinsoku/>
        <w:overflowPunct/>
        <w:topLinePunct w:val="0"/>
        <w:bidi w:val="0"/>
        <w:outlineLvl w:val="9"/>
        <w:rPr>
          <w:rFonts w:hAnsi="宋体"/>
          <w:color w:val="auto"/>
          <w:sz w:val="21"/>
          <w:szCs w:val="21"/>
        </w:rPr>
      </w:pPr>
    </w:p>
    <w:p>
      <w:pPr>
        <w:kinsoku/>
        <w:overflowPunct/>
        <w:topLinePunct w:val="0"/>
        <w:bidi w:val="0"/>
        <w:outlineLvl w:val="9"/>
        <w:rPr>
          <w:rFonts w:hAnsi="宋体"/>
          <w:color w:val="auto"/>
          <w:sz w:val="21"/>
          <w:szCs w:val="21"/>
        </w:rPr>
      </w:pPr>
    </w:p>
    <w:p>
      <w:pPr>
        <w:kinsoku/>
        <w:overflowPunct/>
        <w:topLinePunct w:val="0"/>
        <w:bidi w:val="0"/>
        <w:outlineLvl w:val="9"/>
        <w:rPr>
          <w:rFonts w:hAnsi="宋体"/>
          <w:b/>
          <w:color w:val="auto"/>
          <w:sz w:val="21"/>
          <w:szCs w:val="21"/>
        </w:rPr>
      </w:pPr>
      <w:r>
        <w:rPr>
          <w:rFonts w:hint="eastAsia" w:hAnsi="宋体"/>
          <w:b/>
          <w:color w:val="auto"/>
          <w:sz w:val="21"/>
          <w:szCs w:val="21"/>
        </w:rPr>
        <w:t xml:space="preserve"> (为避免废标，请</w:t>
      </w:r>
      <w:r>
        <w:rPr>
          <w:rFonts w:hint="eastAsia" w:hAnsi="宋体"/>
          <w:b/>
          <w:color w:val="auto"/>
          <w:sz w:val="21"/>
          <w:szCs w:val="21"/>
          <w:lang w:eastAsia="zh-CN"/>
        </w:rPr>
        <w:t>响应供应商</w:t>
      </w:r>
      <w:r>
        <w:rPr>
          <w:rFonts w:hint="eastAsia" w:hAnsi="宋体"/>
          <w:b/>
          <w:color w:val="auto"/>
          <w:sz w:val="21"/>
          <w:szCs w:val="21"/>
        </w:rPr>
        <w:t>务必提供下列附件)</w:t>
      </w:r>
    </w:p>
    <w:p>
      <w:pPr>
        <w:kinsoku/>
        <w:overflowPunct/>
        <w:topLinePunct w:val="0"/>
        <w:bidi w:val="0"/>
        <w:outlineLvl w:val="9"/>
        <w:rPr>
          <w:rFonts w:hAnsi="宋体"/>
          <w:b/>
          <w:color w:val="auto"/>
          <w:sz w:val="21"/>
          <w:szCs w:val="21"/>
        </w:rPr>
      </w:pPr>
    </w:p>
    <w:p>
      <w:pPr>
        <w:kinsoku/>
        <w:overflowPunct/>
        <w:topLinePunct w:val="0"/>
        <w:bidi w:val="0"/>
        <w:outlineLvl w:val="9"/>
        <w:rPr>
          <w:rFonts w:hAnsi="宋体"/>
          <w:b/>
          <w:color w:val="auto"/>
          <w:sz w:val="21"/>
          <w:szCs w:val="21"/>
        </w:rPr>
      </w:pPr>
      <w:r>
        <w:rPr>
          <w:rFonts w:hAnsi="宋体"/>
          <w:b/>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33020</wp:posOffset>
                </wp:positionV>
                <wp:extent cx="29051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9051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AutoShape 2" o:spid="_x0000_s1026" o:spt="176" type="#_x0000_t176" style="position:absolute;left:0pt;margin-left:153pt;margin-top:2.6pt;height:124.75pt;width:228.75pt;z-index:251659264;mso-width-relative:page;mso-height-relative:page;" fillcolor="#FFFFFF" filled="t" stroked="t" coordsize="21600,21600" o:gfxdata="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6E1TX&#10;AAAACQEAAA8AAAAAAAAAAQAgAAAAIgAAAGRycy9kb3ducmV2LnhtbFBLAQIUABQAAAAIAIdO4kDM&#10;ctvx6AEAAPQDAAAOAAAAAAAAAAEAIAAAACYBAABkcnMvZTJvRG9jLnhtbFBLBQYAAAAABgAGAFkB&#10;AACA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法定代表人身份证复印件（正反面）</w:t>
                      </w:r>
                    </w:p>
                  </w:txbxContent>
                </v:textbox>
              </v:shape>
            </w:pict>
          </mc:Fallback>
        </mc:AlternateContent>
      </w:r>
    </w:p>
    <w:p>
      <w:pPr>
        <w:kinsoku/>
        <w:overflowPunct/>
        <w:topLinePunct w:val="0"/>
        <w:bidi w:val="0"/>
        <w:outlineLvl w:val="9"/>
        <w:rPr>
          <w:rFonts w:hAnsi="宋体"/>
          <w:b/>
          <w:color w:val="auto"/>
          <w:sz w:val="21"/>
          <w:szCs w:val="20"/>
        </w:rPr>
      </w:pPr>
      <w:r>
        <w:rPr>
          <w:color w:val="auto"/>
        </w:rPr>
        <w:br w:type="page"/>
      </w:r>
      <w:bookmarkEnd w:id="64"/>
      <w:r>
        <w:rPr>
          <w:rFonts w:hint="eastAsia" w:hAnsi="宋体"/>
          <w:b/>
          <w:color w:val="auto"/>
          <w:sz w:val="21"/>
          <w:szCs w:val="20"/>
        </w:rPr>
        <w:t>附表2.2.3 法定代表人授权书格式（有被授权人时适用）</w:t>
      </w:r>
    </w:p>
    <w:p>
      <w:pPr>
        <w:kinsoku/>
        <w:overflowPunct/>
        <w:topLinePunct w:val="0"/>
        <w:bidi w:val="0"/>
        <w:spacing w:line="360" w:lineRule="auto"/>
        <w:jc w:val="center"/>
        <w:outlineLvl w:val="9"/>
        <w:rPr>
          <w:rFonts w:hAnsi="宋体"/>
          <w:b/>
          <w:color w:val="auto"/>
          <w:sz w:val="28"/>
          <w:szCs w:val="28"/>
        </w:rPr>
      </w:pPr>
    </w:p>
    <w:p>
      <w:pPr>
        <w:kinsoku/>
        <w:overflowPunct/>
        <w:topLinePunct w:val="0"/>
        <w:bidi w:val="0"/>
        <w:spacing w:line="360" w:lineRule="auto"/>
        <w:jc w:val="center"/>
        <w:outlineLvl w:val="9"/>
        <w:rPr>
          <w:rFonts w:hAnsi="宋体"/>
          <w:b/>
          <w:color w:val="auto"/>
          <w:sz w:val="28"/>
          <w:szCs w:val="28"/>
        </w:rPr>
      </w:pPr>
      <w:r>
        <w:rPr>
          <w:rFonts w:hint="eastAsia" w:hAnsi="宋体"/>
          <w:b/>
          <w:color w:val="auto"/>
          <w:sz w:val="28"/>
          <w:szCs w:val="28"/>
        </w:rPr>
        <w:t>法定代表人授权书格式</w:t>
      </w: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r>
        <w:rPr>
          <w:rFonts w:hint="eastAsia" w:hAnsi="宋体"/>
          <w:b/>
          <w:color w:val="auto"/>
          <w:sz w:val="21"/>
          <w:szCs w:val="21"/>
        </w:rPr>
        <w:t>致：</w:t>
      </w:r>
      <w:r>
        <w:rPr>
          <w:rFonts w:hint="eastAsia" w:hAnsi="宋体"/>
          <w:b/>
          <w:color w:val="auto"/>
          <w:sz w:val="21"/>
          <w:szCs w:val="21"/>
          <w:lang w:eastAsia="zh-CN"/>
        </w:rPr>
        <w:t>南方医科大学第七附属医院</w:t>
      </w:r>
      <w:r>
        <w:rPr>
          <w:rFonts w:hint="eastAsia" w:hAnsi="宋体"/>
          <w:b/>
          <w:color w:val="auto"/>
          <w:sz w:val="21"/>
          <w:szCs w:val="21"/>
        </w:rPr>
        <w:t xml:space="preserve"> / 广东远东招标代理有限公司</w:t>
      </w:r>
    </w:p>
    <w:p>
      <w:pPr>
        <w:kinsoku/>
        <w:overflowPunct/>
        <w:topLinePunct w:val="0"/>
        <w:bidi w:val="0"/>
        <w:spacing w:line="480" w:lineRule="exact"/>
        <w:ind w:firstLine="420" w:firstLineChars="200"/>
        <w:outlineLvl w:val="9"/>
        <w:rPr>
          <w:rFonts w:hAnsi="宋体"/>
          <w:color w:val="auto"/>
          <w:sz w:val="21"/>
          <w:szCs w:val="21"/>
        </w:rPr>
      </w:pPr>
      <w:r>
        <w:rPr>
          <w:rFonts w:hint="eastAsia" w:hAnsi="宋体"/>
          <w:color w:val="auto"/>
          <w:sz w:val="21"/>
          <w:szCs w:val="21"/>
        </w:rPr>
        <w:t>兹授权</w:t>
      </w:r>
      <w:r>
        <w:rPr>
          <w:rFonts w:hint="eastAsia" w:hAnsi="宋体"/>
          <w:color w:val="auto"/>
          <w:sz w:val="21"/>
          <w:szCs w:val="21"/>
          <w:u w:val="single"/>
        </w:rPr>
        <w:t xml:space="preserve">       </w:t>
      </w:r>
      <w:r>
        <w:rPr>
          <w:rFonts w:hint="eastAsia" w:hAnsi="宋体"/>
          <w:color w:val="auto"/>
          <w:sz w:val="21"/>
          <w:szCs w:val="21"/>
        </w:rPr>
        <w:t>同志，为我方签订经济合同及办理其他事务代理人，其权限是：</w:t>
      </w:r>
      <w:r>
        <w:rPr>
          <w:rFonts w:hint="eastAsia" w:hAnsi="宋体"/>
          <w:color w:val="auto"/>
          <w:sz w:val="21"/>
          <w:szCs w:val="21"/>
          <w:u w:val="single"/>
        </w:rPr>
        <w:t xml:space="preserve">     </w:t>
      </w:r>
      <w:r>
        <w:rPr>
          <w:rFonts w:hint="eastAsia" w:hAnsi="宋体"/>
          <w:color w:val="auto"/>
          <w:sz w:val="21"/>
          <w:szCs w:val="21"/>
          <w:u w:val="single"/>
          <w:lang w:eastAsia="zh-CN"/>
        </w:rPr>
        <w:t>。</w:t>
      </w:r>
    </w:p>
    <w:p>
      <w:pPr>
        <w:kinsoku/>
        <w:overflowPunct/>
        <w:topLinePunct w:val="0"/>
        <w:bidi w:val="0"/>
        <w:spacing w:line="480" w:lineRule="exact"/>
        <w:outlineLvl w:val="9"/>
        <w:rPr>
          <w:rFonts w:hAnsi="宋体"/>
          <w:color w:val="auto"/>
          <w:sz w:val="21"/>
          <w:szCs w:val="21"/>
        </w:rPr>
      </w:pPr>
      <w:r>
        <w:rPr>
          <w:rFonts w:hint="eastAsia" w:hAnsi="宋体"/>
          <w:color w:val="auto"/>
          <w:sz w:val="21"/>
          <w:szCs w:val="21"/>
        </w:rPr>
        <w:t>授权单位：          （</w:t>
      </w:r>
      <w:r>
        <w:rPr>
          <w:rFonts w:hint="eastAsia" w:hAnsi="宋体"/>
          <w:color w:val="auto"/>
          <w:kern w:val="2"/>
          <w:sz w:val="21"/>
          <w:szCs w:val="21"/>
          <w:lang w:val="zh-CN"/>
        </w:rPr>
        <w:t>加盖法人公章</w:t>
      </w:r>
      <w:r>
        <w:rPr>
          <w:rFonts w:hint="eastAsia" w:hAnsi="宋体"/>
          <w:color w:val="auto"/>
          <w:sz w:val="21"/>
          <w:szCs w:val="21"/>
        </w:rPr>
        <w:t>）     法定代表人：              （亲笔签名）</w:t>
      </w:r>
    </w:p>
    <w:p>
      <w:pPr>
        <w:kinsoku/>
        <w:overflowPunct/>
        <w:topLinePunct w:val="0"/>
        <w:bidi w:val="0"/>
        <w:spacing w:line="480" w:lineRule="exact"/>
        <w:outlineLvl w:val="9"/>
        <w:rPr>
          <w:rFonts w:hAnsi="宋体"/>
          <w:color w:val="auto"/>
          <w:sz w:val="21"/>
          <w:szCs w:val="21"/>
        </w:rPr>
      </w:pPr>
      <w:r>
        <w:rPr>
          <w:rFonts w:hint="eastAsia" w:hAnsi="宋体"/>
          <w:color w:val="auto"/>
          <w:sz w:val="21"/>
          <w:szCs w:val="21"/>
        </w:rPr>
        <w:t>有效期限：至        年       月      日       签发日期：</w:t>
      </w:r>
    </w:p>
    <w:p>
      <w:pPr>
        <w:kinsoku/>
        <w:overflowPunct/>
        <w:topLinePunct w:val="0"/>
        <w:bidi w:val="0"/>
        <w:spacing w:line="480" w:lineRule="exact"/>
        <w:outlineLvl w:val="9"/>
        <w:rPr>
          <w:rFonts w:hAnsi="宋体"/>
          <w:color w:val="auto"/>
          <w:sz w:val="21"/>
          <w:szCs w:val="21"/>
        </w:rPr>
      </w:pPr>
      <w:r>
        <w:rPr>
          <w:rFonts w:hint="eastAsia" w:hAnsi="宋体"/>
          <w:color w:val="auto"/>
          <w:sz w:val="21"/>
          <w:szCs w:val="21"/>
        </w:rPr>
        <w:t>附：代理人性别：        年龄：       职务：         身份证号码：</w:t>
      </w:r>
    </w:p>
    <w:p>
      <w:pPr>
        <w:kinsoku/>
        <w:overflowPunct/>
        <w:topLinePunct w:val="0"/>
        <w:bidi w:val="0"/>
        <w:spacing w:line="480" w:lineRule="exact"/>
        <w:outlineLvl w:val="9"/>
        <w:rPr>
          <w:rFonts w:hAnsi="宋体"/>
          <w:color w:val="auto"/>
          <w:sz w:val="21"/>
          <w:szCs w:val="21"/>
        </w:rPr>
      </w:pPr>
      <w:r>
        <w:rPr>
          <w:rFonts w:hint="eastAsia" w:hAnsi="宋体"/>
          <w:color w:val="auto"/>
          <w:sz w:val="21"/>
          <w:szCs w:val="21"/>
        </w:rPr>
        <w:t xml:space="preserve">  联系电话：</w:t>
      </w:r>
    </w:p>
    <w:p>
      <w:pPr>
        <w:kinsoku/>
        <w:overflowPunct/>
        <w:topLinePunct w:val="0"/>
        <w:bidi w:val="0"/>
        <w:spacing w:line="480" w:lineRule="exact"/>
        <w:ind w:firstLine="210" w:firstLineChars="100"/>
        <w:outlineLvl w:val="9"/>
        <w:rPr>
          <w:rFonts w:hAnsi="宋体"/>
          <w:color w:val="auto"/>
          <w:sz w:val="21"/>
          <w:szCs w:val="21"/>
        </w:rPr>
      </w:pPr>
      <w:r>
        <w:rPr>
          <w:rFonts w:hint="eastAsia" w:hAnsi="宋体"/>
          <w:color w:val="auto"/>
          <w:sz w:val="21"/>
          <w:szCs w:val="21"/>
        </w:rPr>
        <w:t>营业执照号码：                         经济性质：</w:t>
      </w:r>
    </w:p>
    <w:p>
      <w:pPr>
        <w:kinsoku/>
        <w:overflowPunct/>
        <w:topLinePunct w:val="0"/>
        <w:bidi w:val="0"/>
        <w:spacing w:line="480" w:lineRule="exact"/>
        <w:ind w:firstLine="210" w:firstLineChars="100"/>
        <w:outlineLvl w:val="9"/>
        <w:rPr>
          <w:rFonts w:hAnsi="宋体"/>
          <w:color w:val="auto"/>
          <w:sz w:val="21"/>
          <w:szCs w:val="21"/>
        </w:rPr>
      </w:pPr>
      <w:r>
        <w:rPr>
          <w:rFonts w:hint="eastAsia" w:hAnsi="宋体"/>
          <w:color w:val="auto"/>
          <w:sz w:val="21"/>
          <w:szCs w:val="21"/>
        </w:rPr>
        <w:t>主营（产）：</w:t>
      </w:r>
    </w:p>
    <w:p>
      <w:pPr>
        <w:kinsoku/>
        <w:overflowPunct/>
        <w:topLinePunct w:val="0"/>
        <w:bidi w:val="0"/>
        <w:spacing w:line="480" w:lineRule="exact"/>
        <w:ind w:firstLine="210" w:firstLineChars="100"/>
        <w:outlineLvl w:val="9"/>
        <w:rPr>
          <w:rFonts w:hAnsi="宋体"/>
          <w:color w:val="auto"/>
          <w:sz w:val="21"/>
          <w:szCs w:val="21"/>
        </w:rPr>
      </w:pPr>
      <w:r>
        <w:rPr>
          <w:rFonts w:hint="eastAsia" w:hAnsi="宋体"/>
          <w:color w:val="auto"/>
          <w:sz w:val="21"/>
          <w:szCs w:val="21"/>
        </w:rPr>
        <w:t>兼营（产）：</w:t>
      </w:r>
    </w:p>
    <w:p>
      <w:pPr>
        <w:kinsoku/>
        <w:overflowPunct/>
        <w:topLinePunct w:val="0"/>
        <w:bidi w:val="0"/>
        <w:spacing w:line="480" w:lineRule="exact"/>
        <w:ind w:firstLine="210" w:firstLineChars="100"/>
        <w:outlineLvl w:val="9"/>
        <w:rPr>
          <w:rFonts w:hAnsi="宋体"/>
          <w:color w:val="auto"/>
          <w:sz w:val="21"/>
          <w:szCs w:val="21"/>
        </w:rPr>
      </w:pPr>
      <w:r>
        <w:rPr>
          <w:rFonts w:hint="eastAsia" w:hAnsi="宋体"/>
          <w:color w:val="auto"/>
          <w:sz w:val="21"/>
          <w:szCs w:val="21"/>
        </w:rPr>
        <w:t>进口物品经营许可证号码：</w:t>
      </w:r>
    </w:p>
    <w:p>
      <w:pPr>
        <w:kinsoku/>
        <w:overflowPunct/>
        <w:topLinePunct w:val="0"/>
        <w:bidi w:val="0"/>
        <w:spacing w:line="480" w:lineRule="exact"/>
        <w:ind w:firstLine="210" w:firstLineChars="100"/>
        <w:outlineLvl w:val="9"/>
        <w:rPr>
          <w:rFonts w:hAnsi="宋体"/>
          <w:color w:val="auto"/>
          <w:sz w:val="21"/>
          <w:szCs w:val="21"/>
        </w:rPr>
      </w:pPr>
      <w:r>
        <w:rPr>
          <w:rFonts w:hint="eastAsia" w:hAnsi="宋体"/>
          <w:color w:val="auto"/>
          <w:sz w:val="21"/>
          <w:szCs w:val="21"/>
        </w:rPr>
        <w:t>主营：</w:t>
      </w:r>
    </w:p>
    <w:p>
      <w:pPr>
        <w:kinsoku/>
        <w:overflowPunct/>
        <w:topLinePunct w:val="0"/>
        <w:bidi w:val="0"/>
        <w:spacing w:line="480" w:lineRule="exact"/>
        <w:ind w:firstLine="210" w:firstLineChars="100"/>
        <w:outlineLvl w:val="9"/>
        <w:rPr>
          <w:rFonts w:hAnsi="宋体"/>
          <w:color w:val="auto"/>
          <w:sz w:val="21"/>
          <w:szCs w:val="21"/>
        </w:rPr>
      </w:pPr>
      <w:r>
        <w:rPr>
          <w:rFonts w:hint="eastAsia" w:hAnsi="宋体"/>
          <w:color w:val="auto"/>
          <w:sz w:val="21"/>
          <w:szCs w:val="21"/>
        </w:rPr>
        <w:t>兼营：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20" w:firstLineChars="200"/>
        <w:textAlignment w:val="auto"/>
        <w:outlineLvl w:val="9"/>
        <w:rPr>
          <w:rFonts w:hint="eastAsia" w:ascii="宋体" w:hAnsi="宋体" w:eastAsia="宋体" w:cs="Times New Roman"/>
          <w:color w:val="auto"/>
          <w:sz w:val="21"/>
          <w:szCs w:val="21"/>
        </w:rPr>
      </w:pPr>
      <w:r>
        <w:rPr>
          <w:rFonts w:hint="eastAsia" w:ascii="宋体" w:hAnsi="宋体" w:eastAsia="宋体" w:cs="Times New Roman"/>
          <w:color w:val="auto"/>
          <w:sz w:val="21"/>
          <w:szCs w:val="21"/>
        </w:rPr>
        <w:t>说明：1.法定代表人为企业事业单位、国家机关、社会团体的主要行政负责人</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2.内容必须填写真实、清楚、涂改无效，不得转让、买卖</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.将此证明书提交对方作为合同附件</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.授权权限：全权代表本公司参与上述采购项目的报价/谈判响应，负责提供与签署确认一切文书资料，以及向贵方递交的任何补充承诺</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5.有效期限：与本公司报价/响应文件中标注的报价/谈判有效期相同，自本单位盖公章之日起生效</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6.报价/谈判签字代表为法定代表人，则本表不适用。</w:t>
      </w:r>
    </w:p>
    <w:p>
      <w:pPr>
        <w:kinsoku/>
        <w:overflowPunct/>
        <w:topLinePunct w:val="0"/>
        <w:bidi w:val="0"/>
        <w:spacing w:line="360" w:lineRule="auto"/>
        <w:ind w:firstLine="420"/>
        <w:outlineLvl w:val="9"/>
        <w:rPr>
          <w:rFonts w:hAnsi="宋体"/>
          <w:color w:val="auto"/>
          <w:sz w:val="21"/>
          <w:szCs w:val="21"/>
          <w:u w:val="single"/>
        </w:rPr>
      </w:pPr>
      <w:r>
        <w:rPr>
          <w:rFonts w:hAnsi="宋体"/>
          <w:color w:val="auto"/>
          <w:sz w:val="21"/>
          <w:szCs w:val="21"/>
          <w:u w:val="single"/>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218440</wp:posOffset>
                </wp:positionV>
                <wp:extent cx="254317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5431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rPr>
                                <w:rFonts w:hAnsi="宋体"/>
                                <w:szCs w:val="21"/>
                              </w:rPr>
                            </w:pPr>
                          </w:p>
                          <w:p>
                            <w:pPr>
                              <w:jc w:val="center"/>
                              <w:rPr>
                                <w:szCs w:val="21"/>
                              </w:rPr>
                            </w:pPr>
                            <w:r>
                              <w:rPr>
                                <w:rFonts w:hint="eastAsia" w:hAnsi="宋体"/>
                                <w:szCs w:val="21"/>
                              </w:rPr>
                              <w:t>代理人身份证复印件（正反面）</w:t>
                            </w:r>
                          </w:p>
                        </w:txbxContent>
                      </wps:txbx>
                      <wps:bodyPr upright="1"/>
                    </wps:wsp>
                  </a:graphicData>
                </a:graphic>
              </wp:anchor>
            </w:drawing>
          </mc:Choice>
          <mc:Fallback>
            <w:pict>
              <v:shape id="AutoShape 3" o:spid="_x0000_s1026" o:spt="176" type="#_x0000_t176" style="position:absolute;left:0pt;margin-left:162pt;margin-top:17.2pt;height:124.75pt;width:200.25pt;z-index:251660288;mso-width-relative:page;mso-height-relative:page;" fillcolor="#FFFFFF" filled="t" stroked="t" coordsize="21600,21600" o:gfxdata="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t/q9dkAAAAKAQAADwAAAAAAAAABACAAAAAiAAAAZHJzL2Rvd25yZXYueG1sUEsBAhQAFAAAAAgA&#10;h07iQEfT+lzrAQAA9AMAAA4AAAAAAAAAAQAgAAAAKAEAAGRycy9lMm9Eb2MueG1sUEsFBgAAAAAG&#10;AAYAWQEAAIUFAAAAAA==&#10;">
                <v:fill on="t" focussize="0,0"/>
                <v:stroke color="#000000" joinstyle="miter"/>
                <v:imagedata o:title=""/>
                <o:lock v:ext="edit" aspectratio="f"/>
                <v:textbox>
                  <w:txbxContent>
                    <w:p>
                      <w:pPr>
                        <w:jc w:val="center"/>
                        <w:rPr>
                          <w:rFonts w:hAnsi="宋体"/>
                          <w:szCs w:val="21"/>
                        </w:rPr>
                      </w:pPr>
                    </w:p>
                    <w:p>
                      <w:pPr>
                        <w:rPr>
                          <w:rFonts w:hAnsi="宋体"/>
                          <w:szCs w:val="21"/>
                        </w:rPr>
                      </w:pPr>
                    </w:p>
                    <w:p>
                      <w:pPr>
                        <w:jc w:val="center"/>
                        <w:rPr>
                          <w:szCs w:val="21"/>
                        </w:rPr>
                      </w:pPr>
                      <w:r>
                        <w:rPr>
                          <w:rFonts w:hint="eastAsia" w:hAnsi="宋体"/>
                          <w:szCs w:val="21"/>
                        </w:rPr>
                        <w:t>代理人身份证复印件（正反面）</w:t>
                      </w:r>
                    </w:p>
                  </w:txbxContent>
                </v:textbox>
              </v:shape>
            </w:pict>
          </mc:Fallback>
        </mc:AlternateContent>
      </w:r>
    </w:p>
    <w:p>
      <w:pPr>
        <w:kinsoku/>
        <w:overflowPunct/>
        <w:topLinePunct w:val="0"/>
        <w:bidi w:val="0"/>
        <w:spacing w:line="360" w:lineRule="auto"/>
        <w:ind w:firstLine="420"/>
        <w:outlineLvl w:val="9"/>
        <w:rPr>
          <w:rFonts w:hAnsi="宋体"/>
          <w:color w:val="auto"/>
          <w:sz w:val="21"/>
          <w:szCs w:val="21"/>
          <w:u w:val="single"/>
        </w:rPr>
      </w:pPr>
    </w:p>
    <w:p>
      <w:pPr>
        <w:kinsoku/>
        <w:overflowPunct/>
        <w:topLinePunct w:val="0"/>
        <w:bidi w:val="0"/>
        <w:spacing w:line="360" w:lineRule="auto"/>
        <w:ind w:firstLine="420"/>
        <w:outlineLvl w:val="9"/>
        <w:rPr>
          <w:rFonts w:hAnsi="宋体"/>
          <w:color w:val="auto"/>
          <w:sz w:val="21"/>
          <w:szCs w:val="21"/>
          <w:u w:val="single"/>
        </w:rPr>
      </w:pPr>
    </w:p>
    <w:p>
      <w:pPr>
        <w:kinsoku/>
        <w:overflowPunct/>
        <w:topLinePunct w:val="0"/>
        <w:bidi w:val="0"/>
        <w:spacing w:line="360" w:lineRule="auto"/>
        <w:outlineLvl w:val="9"/>
        <w:rPr>
          <w:rFonts w:hAnsi="宋体"/>
          <w:b/>
          <w:color w:val="auto"/>
          <w:sz w:val="21"/>
          <w:szCs w:val="20"/>
        </w:rPr>
      </w:pPr>
      <w:r>
        <w:rPr>
          <w:b/>
          <w:bCs/>
          <w:color w:val="auto"/>
          <w:szCs w:val="21"/>
        </w:rPr>
        <w:br w:type="page"/>
      </w:r>
      <w:bookmarkStart w:id="65" w:name="_Toc10548703"/>
      <w:bookmarkStart w:id="66" w:name="_Toc382926907"/>
      <w:bookmarkStart w:id="67" w:name="_Toc382840855"/>
      <w:r>
        <w:rPr>
          <w:rFonts w:hint="eastAsia" w:hAnsi="宋体"/>
          <w:b/>
          <w:color w:val="auto"/>
          <w:sz w:val="21"/>
          <w:szCs w:val="20"/>
        </w:rPr>
        <w:t>附表2.</w:t>
      </w:r>
      <w:bookmarkEnd w:id="65"/>
      <w:r>
        <w:rPr>
          <w:rFonts w:hint="eastAsia" w:hAnsi="宋体"/>
          <w:b/>
          <w:color w:val="auto"/>
          <w:sz w:val="21"/>
          <w:szCs w:val="20"/>
        </w:rPr>
        <w:t xml:space="preserve">3 </w:t>
      </w:r>
      <w:r>
        <w:rPr>
          <w:rFonts w:hint="eastAsia" w:hAnsi="宋体"/>
          <w:b/>
          <w:color w:val="auto"/>
          <w:sz w:val="21"/>
          <w:szCs w:val="20"/>
          <w:lang w:eastAsia="zh-CN"/>
        </w:rPr>
        <w:t>响应保证金</w:t>
      </w:r>
      <w:r>
        <w:rPr>
          <w:rFonts w:hint="eastAsia" w:hAnsi="宋体"/>
          <w:b/>
          <w:color w:val="auto"/>
          <w:sz w:val="21"/>
          <w:szCs w:val="20"/>
        </w:rPr>
        <w:t>缴纳情况说明</w:t>
      </w:r>
      <w:bookmarkEnd w:id="66"/>
      <w:bookmarkEnd w:id="67"/>
    </w:p>
    <w:p>
      <w:pPr>
        <w:kinsoku/>
        <w:overflowPunct/>
        <w:topLinePunct w:val="0"/>
        <w:bidi w:val="0"/>
        <w:spacing w:line="360" w:lineRule="auto"/>
        <w:outlineLvl w:val="9"/>
        <w:rPr>
          <w:rFonts w:hAnsi="宋体"/>
          <w:b/>
          <w:color w:val="auto"/>
          <w:sz w:val="21"/>
          <w:szCs w:val="20"/>
        </w:rPr>
      </w:pPr>
    </w:p>
    <w:p>
      <w:pPr>
        <w:kinsoku/>
        <w:overflowPunct/>
        <w:topLinePunct w:val="0"/>
        <w:bidi w:val="0"/>
        <w:spacing w:line="360" w:lineRule="auto"/>
        <w:jc w:val="center"/>
        <w:outlineLvl w:val="9"/>
        <w:rPr>
          <w:rFonts w:hAnsi="宋体"/>
          <w:b/>
          <w:color w:val="auto"/>
          <w:sz w:val="28"/>
          <w:szCs w:val="28"/>
        </w:rPr>
      </w:pPr>
      <w:bookmarkStart w:id="68" w:name="_Toc10548704"/>
      <w:r>
        <w:rPr>
          <w:rFonts w:hint="eastAsia" w:hAnsi="宋体"/>
          <w:b/>
          <w:color w:val="auto"/>
          <w:sz w:val="28"/>
          <w:szCs w:val="28"/>
          <w:lang w:eastAsia="zh-CN"/>
        </w:rPr>
        <w:t>响应保证金</w:t>
      </w:r>
      <w:r>
        <w:rPr>
          <w:rFonts w:hint="eastAsia" w:hAnsi="宋体"/>
          <w:b/>
          <w:color w:val="auto"/>
          <w:sz w:val="28"/>
          <w:szCs w:val="28"/>
        </w:rPr>
        <w:t>缴纳情况说明（如有）</w:t>
      </w:r>
    </w:p>
    <w:p>
      <w:pPr>
        <w:kinsoku/>
        <w:overflowPunct/>
        <w:topLinePunct w:val="0"/>
        <w:bidi w:val="0"/>
        <w:spacing w:line="360" w:lineRule="auto"/>
        <w:outlineLvl w:val="9"/>
        <w:rPr>
          <w:rFonts w:hAnsi="宋体"/>
          <w:color w:val="auto"/>
          <w:sz w:val="21"/>
          <w:szCs w:val="21"/>
        </w:rPr>
      </w:pPr>
    </w:p>
    <w:p>
      <w:pPr>
        <w:kinsoku/>
        <w:overflowPunct/>
        <w:topLinePunct w:val="0"/>
        <w:bidi w:val="0"/>
        <w:spacing w:line="360" w:lineRule="auto"/>
        <w:outlineLvl w:val="9"/>
        <w:rPr>
          <w:rFonts w:hAnsi="宋体"/>
          <w:b/>
          <w:color w:val="auto"/>
          <w:sz w:val="21"/>
          <w:szCs w:val="21"/>
        </w:rPr>
      </w:pPr>
      <w:bookmarkStart w:id="69" w:name="_Toc382926908"/>
      <w:bookmarkStart w:id="70" w:name="_Toc382840856"/>
      <w:r>
        <w:rPr>
          <w:rFonts w:hint="eastAsia" w:hAnsi="宋体"/>
          <w:b/>
          <w:color w:val="auto"/>
          <w:sz w:val="21"/>
          <w:szCs w:val="21"/>
        </w:rPr>
        <w:t>致：</w:t>
      </w:r>
      <w:r>
        <w:rPr>
          <w:rFonts w:hint="eastAsia" w:hAnsi="宋体"/>
          <w:b/>
          <w:color w:val="auto"/>
          <w:sz w:val="21"/>
          <w:szCs w:val="21"/>
          <w:lang w:eastAsia="zh-CN"/>
        </w:rPr>
        <w:t>南方医科大学第七附属医院</w:t>
      </w:r>
      <w:r>
        <w:rPr>
          <w:rFonts w:hint="eastAsia" w:hAnsi="宋体"/>
          <w:b/>
          <w:color w:val="auto"/>
          <w:sz w:val="21"/>
          <w:szCs w:val="21"/>
        </w:rPr>
        <w:t xml:space="preserve"> / 广东远东招标代理有限公司</w:t>
      </w:r>
    </w:p>
    <w:p>
      <w:pPr>
        <w:kinsoku/>
        <w:overflowPunct/>
        <w:topLinePunct w:val="0"/>
        <w:bidi w:val="0"/>
        <w:spacing w:line="360" w:lineRule="auto"/>
        <w:ind w:firstLine="420" w:firstLineChars="200"/>
        <w:outlineLvl w:val="9"/>
        <w:rPr>
          <w:rFonts w:hAnsi="宋体"/>
          <w:color w:val="auto"/>
          <w:sz w:val="21"/>
          <w:szCs w:val="21"/>
        </w:rPr>
      </w:pPr>
    </w:p>
    <w:p>
      <w:pPr>
        <w:kinsoku/>
        <w:overflowPunct/>
        <w:topLinePunct w:val="0"/>
        <w:bidi w:val="0"/>
        <w:spacing w:line="360" w:lineRule="auto"/>
        <w:ind w:firstLine="420" w:firstLineChars="200"/>
        <w:jc w:val="both"/>
        <w:outlineLvl w:val="9"/>
        <w:rPr>
          <w:rFonts w:hAnsi="宋体"/>
          <w:color w:val="auto"/>
          <w:sz w:val="21"/>
          <w:szCs w:val="21"/>
        </w:rPr>
      </w:pPr>
      <w:r>
        <w:rPr>
          <w:rFonts w:hint="eastAsia" w:hAnsi="宋体"/>
          <w:color w:val="auto"/>
          <w:sz w:val="21"/>
          <w:szCs w:val="21"/>
        </w:rPr>
        <w:t>本单位已按“</w:t>
      </w:r>
      <w:r>
        <w:rPr>
          <w:rFonts w:hint="eastAsia"/>
          <w:color w:val="auto"/>
          <w:sz w:val="21"/>
          <w:szCs w:val="21"/>
          <w:u w:val="single"/>
          <w:lang w:eastAsia="zh-CN"/>
        </w:rPr>
        <w:t>洗衣房洗涤用品采购项目（第二次）</w:t>
      </w:r>
      <w:r>
        <w:rPr>
          <w:rFonts w:hint="eastAsia"/>
          <w:color w:val="auto"/>
          <w:sz w:val="21"/>
          <w:szCs w:val="21"/>
        </w:rPr>
        <w:t>”</w:t>
      </w:r>
      <w:r>
        <w:rPr>
          <w:rFonts w:hint="eastAsia" w:hAnsi="宋体"/>
          <w:color w:val="auto"/>
          <w:sz w:val="21"/>
          <w:szCs w:val="21"/>
        </w:rPr>
        <w:t>（项目编号：</w:t>
      </w:r>
      <w:r>
        <w:rPr>
          <w:rFonts w:hint="eastAsia" w:hAnsi="宋体"/>
          <w:color w:val="auto"/>
          <w:sz w:val="21"/>
          <w:szCs w:val="21"/>
          <w:lang w:eastAsia="zh-CN"/>
        </w:rPr>
        <w:t>NFQYCG2023002</w:t>
      </w:r>
      <w:r>
        <w:rPr>
          <w:rFonts w:hint="eastAsia" w:hAnsi="宋体"/>
          <w:color w:val="auto"/>
          <w:sz w:val="21"/>
          <w:szCs w:val="21"/>
        </w:rPr>
        <w:t>）的谈判文件要求，于</w:t>
      </w:r>
      <w:r>
        <w:rPr>
          <w:rFonts w:hint="eastAsia" w:hAnsi="宋体"/>
          <w:color w:val="auto"/>
          <w:sz w:val="21"/>
          <w:szCs w:val="21"/>
          <w:u w:val="single"/>
        </w:rPr>
        <w:t>报价截止时间前</w:t>
      </w:r>
      <w:r>
        <w:rPr>
          <w:rFonts w:hint="eastAsia" w:hAnsi="宋体"/>
          <w:color w:val="auto"/>
          <w:sz w:val="21"/>
          <w:szCs w:val="21"/>
        </w:rPr>
        <w:t>以</w:t>
      </w:r>
      <w:r>
        <w:rPr>
          <w:rFonts w:hint="eastAsia" w:hAnsi="宋体"/>
          <w:color w:val="auto"/>
          <w:sz w:val="21"/>
          <w:szCs w:val="21"/>
          <w:u w:val="single"/>
        </w:rPr>
        <w:t xml:space="preserve">           （付款形式）</w:t>
      </w:r>
      <w:r>
        <w:rPr>
          <w:rFonts w:hint="eastAsia" w:hAnsi="宋体"/>
          <w:color w:val="auto"/>
          <w:sz w:val="21"/>
          <w:szCs w:val="21"/>
        </w:rPr>
        <w:t>方式汇入指定账户（</w:t>
      </w:r>
      <w:r>
        <w:rPr>
          <w:rFonts w:hint="eastAsia" w:hAnsi="宋体"/>
          <w:color w:val="auto"/>
          <w:sz w:val="21"/>
          <w:szCs w:val="21"/>
          <w:u w:val="single"/>
        </w:rPr>
        <w:t xml:space="preserve">账户名称：      ，账号：      ,开户银行：          </w:t>
      </w:r>
      <w:r>
        <w:rPr>
          <w:rFonts w:hint="eastAsia" w:hAnsi="宋体"/>
          <w:color w:val="auto"/>
          <w:sz w:val="21"/>
          <w:szCs w:val="21"/>
        </w:rPr>
        <w:t>）。</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本单位</w:t>
      </w:r>
      <w:r>
        <w:rPr>
          <w:rFonts w:hint="eastAsia" w:hAnsi="宋体"/>
          <w:color w:val="auto"/>
          <w:sz w:val="21"/>
          <w:szCs w:val="21"/>
          <w:lang w:eastAsia="zh-CN"/>
        </w:rPr>
        <w:t>响应保证金</w:t>
      </w:r>
      <w:r>
        <w:rPr>
          <w:rFonts w:hint="eastAsia" w:hAnsi="宋体"/>
          <w:color w:val="auto"/>
          <w:sz w:val="21"/>
          <w:szCs w:val="21"/>
        </w:rPr>
        <w:t>的缴纳情况：（附－</w:t>
      </w:r>
      <w:r>
        <w:rPr>
          <w:rFonts w:hint="eastAsia" w:hAnsi="宋体"/>
          <w:color w:val="auto"/>
          <w:sz w:val="21"/>
          <w:szCs w:val="21"/>
          <w:lang w:eastAsia="zh-CN"/>
        </w:rPr>
        <w:t>响应保证金</w:t>
      </w:r>
      <w:r>
        <w:rPr>
          <w:rFonts w:hint="eastAsia" w:hAnsi="宋体"/>
          <w:color w:val="auto"/>
          <w:sz w:val="21"/>
          <w:szCs w:val="21"/>
        </w:rPr>
        <w:t>缴纳凭证-基本户开户许可）</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汇出（或缴纳）时间：</w:t>
      </w:r>
      <w:r>
        <w:rPr>
          <w:rFonts w:hint="eastAsia" w:hAnsi="宋体"/>
          <w:color w:val="auto"/>
          <w:sz w:val="21"/>
          <w:szCs w:val="21"/>
          <w:u w:val="single"/>
        </w:rPr>
        <w:t xml:space="preserve">     年    月   日</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汇款（或缴纳）金额：（大写）人民币元（小写：¥元）</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汇款账户名称：</w:t>
      </w:r>
      <w:r>
        <w:rPr>
          <w:rFonts w:hint="eastAsia" w:hAnsi="宋体"/>
          <w:color w:val="auto"/>
          <w:sz w:val="21"/>
          <w:szCs w:val="21"/>
          <w:u w:val="single"/>
        </w:rPr>
        <w:t xml:space="preserve">  （必须是报价时使用的账户名，使用转账或汇票时填写）   </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账    号：</w:t>
      </w:r>
      <w:r>
        <w:rPr>
          <w:rFonts w:hint="eastAsia" w:hAnsi="宋体"/>
          <w:color w:val="auto"/>
          <w:sz w:val="21"/>
          <w:szCs w:val="21"/>
          <w:u w:val="single"/>
        </w:rPr>
        <w:t xml:space="preserve">      （必须是报价时使用的账号，使用转账或汇票时填写）     </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开户银行：</w:t>
      </w:r>
      <w:r>
        <w:rPr>
          <w:rFonts w:hint="eastAsia" w:hAnsi="宋体"/>
          <w:color w:val="auto"/>
          <w:sz w:val="21"/>
          <w:szCs w:val="21"/>
          <w:u w:val="single"/>
        </w:rPr>
        <w:t xml:space="preserve">    省    市                       （使用转账或汇票时填写）</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本单位谨承诺上述资料是正确、真实的，如因上述证明与事实不符导致的一切损失，本单位保证承担赔偿等一切法律责任。</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lang w:eastAsia="zh-CN"/>
        </w:rPr>
        <w:t>响应保证金</w:t>
      </w:r>
      <w:r>
        <w:rPr>
          <w:rFonts w:hint="eastAsia" w:hAnsi="宋体"/>
          <w:color w:val="auto"/>
          <w:sz w:val="21"/>
          <w:szCs w:val="21"/>
        </w:rPr>
        <w:t>退回时，请按上述资料退回。</w:t>
      </w:r>
    </w:p>
    <w:p>
      <w:pPr>
        <w:kinsoku/>
        <w:overflowPunct/>
        <w:topLinePunct w:val="0"/>
        <w:bidi w:val="0"/>
        <w:spacing w:line="360" w:lineRule="auto"/>
        <w:ind w:firstLine="420" w:firstLineChars="200"/>
        <w:outlineLvl w:val="9"/>
        <w:rPr>
          <w:rFonts w:hAnsi="宋体"/>
          <w:color w:val="auto"/>
          <w:sz w:val="21"/>
          <w:szCs w:val="21"/>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pacing w:line="360" w:lineRule="auto"/>
        <w:ind w:right="718" w:rightChars="299"/>
        <w:jc w:val="right"/>
        <w:outlineLvl w:val="9"/>
        <w:rPr>
          <w:color w:val="auto"/>
        </w:rPr>
      </w:pPr>
    </w:p>
    <w:p>
      <w:pPr>
        <w:kinsoku/>
        <w:overflowPunct/>
        <w:topLinePunct w:val="0"/>
        <w:bidi w:val="0"/>
        <w:spacing w:beforeLines="50" w:line="360" w:lineRule="auto"/>
        <w:outlineLvl w:val="9"/>
        <w:rPr>
          <w:rFonts w:hAnsi="宋体"/>
          <w:color w:val="auto"/>
          <w:sz w:val="21"/>
          <w:szCs w:val="21"/>
        </w:rPr>
      </w:pPr>
      <w:r>
        <w:rPr>
          <w:rFonts w:hint="eastAsia" w:hAnsi="宋体"/>
          <w:color w:val="auto"/>
          <w:sz w:val="21"/>
          <w:szCs w:val="21"/>
        </w:rPr>
        <w:t>附：我方</w:t>
      </w:r>
      <w:r>
        <w:rPr>
          <w:rFonts w:hint="eastAsia" w:hAnsi="宋体"/>
          <w:color w:val="auto"/>
          <w:sz w:val="21"/>
          <w:szCs w:val="21"/>
          <w:lang w:eastAsia="zh-CN"/>
        </w:rPr>
        <w:t>响应保证金</w:t>
      </w:r>
      <w:r>
        <w:rPr>
          <w:rFonts w:hint="eastAsia" w:hAnsi="宋体"/>
          <w:color w:val="auto"/>
          <w:sz w:val="21"/>
          <w:szCs w:val="21"/>
        </w:rPr>
        <w:t>汇款（或缴纳）凭证</w:t>
      </w:r>
    </w:p>
    <w:tbl>
      <w:tblPr>
        <w:tblStyle w:val="21"/>
        <w:tblW w:w="99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4" w:hRule="atLeast"/>
        </w:trPr>
        <w:tc>
          <w:tcPr>
            <w:tcW w:w="9960" w:type="dxa"/>
            <w:vAlign w:val="center"/>
          </w:tcPr>
          <w:p>
            <w:pPr>
              <w:tabs>
                <w:tab w:val="left" w:pos="3885"/>
              </w:tabs>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（粘贴汇款单或转账凭证凭证复印件或由采购代理机构出具的</w:t>
            </w:r>
            <w:r>
              <w:rPr>
                <w:rFonts w:hint="eastAsia" w:hAnsi="宋体"/>
                <w:color w:val="auto"/>
                <w:sz w:val="21"/>
                <w:szCs w:val="21"/>
                <w:lang w:eastAsia="zh-CN"/>
              </w:rPr>
              <w:t>响应保证金</w:t>
            </w:r>
            <w:r>
              <w:rPr>
                <w:rFonts w:hint="eastAsia" w:hAnsi="宋体"/>
                <w:color w:val="auto"/>
                <w:sz w:val="21"/>
                <w:szCs w:val="21"/>
              </w:rPr>
              <w:t>收据复印件，或是直接把凭证复印到此张纸上，并在骑缝上加盖</w:t>
            </w:r>
            <w:r>
              <w:rPr>
                <w:rFonts w:hint="eastAsia" w:hAnsi="宋体"/>
                <w:color w:val="auto"/>
                <w:sz w:val="21"/>
                <w:szCs w:val="21"/>
                <w:lang w:eastAsia="zh-CN"/>
              </w:rPr>
              <w:t>响应供应商</w:t>
            </w:r>
            <w:r>
              <w:rPr>
                <w:rFonts w:hint="eastAsia" w:hAnsi="宋体"/>
                <w:color w:val="auto"/>
                <w:sz w:val="21"/>
                <w:szCs w:val="21"/>
              </w:rPr>
              <w:t>公章）</w:t>
            </w:r>
          </w:p>
        </w:tc>
      </w:tr>
    </w:tbl>
    <w:p>
      <w:pPr>
        <w:kinsoku/>
        <w:overflowPunct/>
        <w:topLinePunct w:val="0"/>
        <w:bidi w:val="0"/>
        <w:spacing w:before="312" w:after="312" w:line="480" w:lineRule="exact"/>
        <w:outlineLvl w:val="9"/>
        <w:rPr>
          <w:rFonts w:hAnsi="宋体"/>
          <w:b/>
          <w:color w:val="auto"/>
          <w:sz w:val="21"/>
          <w:szCs w:val="20"/>
        </w:rPr>
      </w:pPr>
      <w:r>
        <w:rPr>
          <w:rFonts w:hint="eastAsia" w:hAnsi="宋体"/>
          <w:b/>
          <w:color w:val="auto"/>
          <w:sz w:val="21"/>
          <w:szCs w:val="20"/>
        </w:rPr>
        <w:t>附表2.4 证明</w:t>
      </w:r>
      <w:r>
        <w:rPr>
          <w:rFonts w:hint="eastAsia" w:hAnsi="宋体"/>
          <w:b/>
          <w:color w:val="auto"/>
          <w:sz w:val="21"/>
          <w:szCs w:val="20"/>
          <w:lang w:eastAsia="zh-CN"/>
        </w:rPr>
        <w:t>响应供应商</w:t>
      </w:r>
      <w:r>
        <w:rPr>
          <w:rFonts w:hint="eastAsia" w:hAnsi="宋体"/>
          <w:b/>
          <w:color w:val="auto"/>
          <w:sz w:val="21"/>
          <w:szCs w:val="20"/>
        </w:rPr>
        <w:t>的合格性的证明文件格式</w:t>
      </w:r>
      <w:bookmarkEnd w:id="69"/>
      <w:bookmarkEnd w:id="70"/>
    </w:p>
    <w:p>
      <w:pPr>
        <w:kinsoku/>
        <w:overflowPunct/>
        <w:topLinePunct w:val="0"/>
        <w:autoSpaceDE/>
        <w:autoSpaceDN/>
        <w:bidi w:val="0"/>
        <w:adjustRightInd/>
        <w:ind w:firstLine="480"/>
        <w:jc w:val="center"/>
        <w:outlineLvl w:val="9"/>
        <w:rPr>
          <w:rFonts w:ascii="Calibri" w:hAnsi="Calibri"/>
          <w:color w:val="auto"/>
          <w:kern w:val="2"/>
          <w:sz w:val="21"/>
        </w:rPr>
      </w:pPr>
      <w:r>
        <w:rPr>
          <w:rFonts w:ascii="Calibri" w:hAnsi="Calibri"/>
          <w:color w:val="auto"/>
          <w:kern w:val="2"/>
          <w:sz w:val="21"/>
        </w:rPr>
        <w:t>设备及专业技术能力情况表</w:t>
      </w:r>
    </w:p>
    <w:tbl>
      <w:tblPr>
        <w:tblStyle w:val="21"/>
        <w:tblW w:w="92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08"/>
        <w:gridCol w:w="2308"/>
        <w:gridCol w:w="2308"/>
        <w:gridCol w:w="23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2" w:type="dxa"/>
            <w:gridSpan w:val="4"/>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序号</w:t>
            </w:r>
          </w:p>
        </w:tc>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设备名称和专业技术人员</w:t>
            </w:r>
          </w:p>
        </w:tc>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数量及单位</w:t>
            </w:r>
          </w:p>
        </w:tc>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1</w:t>
            </w: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2</w:t>
            </w: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3</w:t>
            </w: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08" w:type="dxa"/>
          </w:tcPr>
          <w:p>
            <w:pPr>
              <w:kinsoku/>
              <w:overflowPunct/>
              <w:topLinePunct w:val="0"/>
              <w:autoSpaceDE/>
              <w:autoSpaceDN/>
              <w:bidi w:val="0"/>
              <w:adjustRightInd/>
              <w:jc w:val="both"/>
              <w:outlineLvl w:val="9"/>
              <w:rPr>
                <w:rFonts w:ascii="Calibri" w:hAnsi="Calibri"/>
                <w:color w:val="auto"/>
                <w:kern w:val="2"/>
                <w:sz w:val="21"/>
              </w:rPr>
            </w:pPr>
            <w:r>
              <w:rPr>
                <w:rFonts w:ascii="Calibri" w:hAnsi="Calibri"/>
                <w:color w:val="auto"/>
                <w:kern w:val="2"/>
                <w:sz w:val="21"/>
              </w:rPr>
              <w:t>…</w:t>
            </w: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c>
          <w:tcPr>
            <w:tcW w:w="2308" w:type="dxa"/>
          </w:tcPr>
          <w:p>
            <w:pPr>
              <w:kinsoku/>
              <w:overflowPunct/>
              <w:topLinePunct w:val="0"/>
              <w:autoSpaceDE/>
              <w:autoSpaceDN/>
              <w:bidi w:val="0"/>
              <w:adjustRightInd/>
              <w:jc w:val="both"/>
              <w:outlineLvl w:val="9"/>
              <w:rPr>
                <w:rFonts w:ascii="Calibri" w:hAnsi="Calibri"/>
                <w:color w:val="auto"/>
                <w:kern w:val="2"/>
                <w:sz w:val="21"/>
              </w:rPr>
            </w:pPr>
          </w:p>
        </w:tc>
      </w:tr>
    </w:tbl>
    <w:p>
      <w:pPr>
        <w:kinsoku/>
        <w:overflowPunct/>
        <w:topLinePunct w:val="0"/>
        <w:bidi w:val="0"/>
        <w:outlineLvl w:val="9"/>
        <w:rPr>
          <w:color w:val="auto"/>
        </w:rPr>
      </w:pPr>
    </w:p>
    <w:p>
      <w:pPr>
        <w:kinsoku/>
        <w:overflowPunct/>
        <w:topLinePunct w:val="0"/>
        <w:bidi w:val="0"/>
        <w:spacing w:after="120" w:line="480" w:lineRule="exact"/>
        <w:outlineLvl w:val="9"/>
        <w:rPr>
          <w:rFonts w:hAnsi="宋体"/>
          <w:b/>
          <w:color w:val="auto"/>
          <w:sz w:val="21"/>
          <w:szCs w:val="20"/>
        </w:rPr>
      </w:pPr>
      <w:bookmarkStart w:id="71" w:name="_Toc382926909"/>
      <w:bookmarkStart w:id="72" w:name="_Toc382840857"/>
      <w:r>
        <w:rPr>
          <w:rFonts w:hint="eastAsia" w:hAnsi="宋体"/>
          <w:b/>
          <w:color w:val="auto"/>
          <w:sz w:val="21"/>
          <w:szCs w:val="20"/>
        </w:rPr>
        <w:t xml:space="preserve">附表2.4.1  </w:t>
      </w:r>
      <w:r>
        <w:rPr>
          <w:rFonts w:hint="eastAsia" w:hAnsi="宋体"/>
          <w:b/>
          <w:color w:val="auto"/>
          <w:sz w:val="21"/>
          <w:szCs w:val="20"/>
          <w:lang w:eastAsia="zh-CN"/>
        </w:rPr>
        <w:t>响应供应商</w:t>
      </w:r>
      <w:r>
        <w:rPr>
          <w:rFonts w:hint="eastAsia" w:hAnsi="宋体"/>
          <w:b/>
          <w:color w:val="auto"/>
          <w:sz w:val="21"/>
          <w:szCs w:val="20"/>
        </w:rPr>
        <w:t>基本情况表格式</w:t>
      </w:r>
      <w:bookmarkEnd w:id="71"/>
      <w:bookmarkEnd w:id="72"/>
    </w:p>
    <w:p>
      <w:pPr>
        <w:kinsoku/>
        <w:overflowPunct/>
        <w:topLinePunct w:val="0"/>
        <w:bidi w:val="0"/>
        <w:spacing w:line="360" w:lineRule="auto"/>
        <w:jc w:val="center"/>
        <w:outlineLvl w:val="9"/>
        <w:rPr>
          <w:rFonts w:hAnsi="宋体"/>
          <w:b/>
          <w:color w:val="auto"/>
          <w:sz w:val="30"/>
        </w:rPr>
      </w:pPr>
    </w:p>
    <w:p>
      <w:pPr>
        <w:kinsoku/>
        <w:overflowPunct/>
        <w:topLinePunct w:val="0"/>
        <w:bidi w:val="0"/>
        <w:spacing w:line="360" w:lineRule="auto"/>
        <w:jc w:val="center"/>
        <w:outlineLvl w:val="9"/>
        <w:rPr>
          <w:rFonts w:hAnsi="宋体"/>
          <w:b/>
          <w:color w:val="auto"/>
          <w:sz w:val="30"/>
        </w:rPr>
      </w:pPr>
      <w:r>
        <w:rPr>
          <w:rFonts w:hint="eastAsia" w:hAnsi="宋体"/>
          <w:b/>
          <w:color w:val="auto"/>
          <w:sz w:val="30"/>
          <w:lang w:eastAsia="zh-CN"/>
        </w:rPr>
        <w:t>响应供应商</w:t>
      </w:r>
      <w:r>
        <w:rPr>
          <w:rFonts w:hint="eastAsia" w:hAnsi="宋体"/>
          <w:b/>
          <w:color w:val="auto"/>
          <w:sz w:val="30"/>
        </w:rPr>
        <w:t>基本情况表</w:t>
      </w:r>
    </w:p>
    <w:tbl>
      <w:tblPr>
        <w:tblStyle w:val="2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5"/>
        <w:gridCol w:w="1118"/>
        <w:gridCol w:w="894"/>
        <w:gridCol w:w="992"/>
        <w:gridCol w:w="1226"/>
        <w:gridCol w:w="1326"/>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top w:val="double" w:color="auto" w:sz="4" w:space="0"/>
              <w:left w:val="double" w:color="auto" w:sz="4" w:space="0"/>
            </w:tcBorders>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单位名称</w:t>
            </w:r>
          </w:p>
        </w:tc>
        <w:tc>
          <w:tcPr>
            <w:tcW w:w="2083" w:type="dxa"/>
            <w:gridSpan w:val="2"/>
            <w:tcBorders>
              <w:top w:val="double" w:color="auto" w:sz="4" w:space="0"/>
            </w:tcBorders>
            <w:vAlign w:val="center"/>
          </w:tcPr>
          <w:p>
            <w:pPr>
              <w:tabs>
                <w:tab w:val="left" w:pos="4320"/>
              </w:tabs>
              <w:kinsoku/>
              <w:overflowPunct/>
              <w:topLinePunct w:val="0"/>
              <w:bidi w:val="0"/>
              <w:outlineLvl w:val="9"/>
              <w:rPr>
                <w:rFonts w:hAnsi="宋体"/>
                <w:color w:val="auto"/>
                <w:sz w:val="18"/>
                <w:szCs w:val="18"/>
              </w:rPr>
            </w:pPr>
          </w:p>
        </w:tc>
        <w:tc>
          <w:tcPr>
            <w:tcW w:w="894" w:type="dxa"/>
            <w:tcBorders>
              <w:top w:val="double" w:color="auto" w:sz="4" w:space="0"/>
            </w:tcBorders>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电话</w:t>
            </w:r>
          </w:p>
        </w:tc>
        <w:tc>
          <w:tcPr>
            <w:tcW w:w="992" w:type="dxa"/>
            <w:tcBorders>
              <w:top w:val="double" w:color="auto" w:sz="4" w:space="0"/>
            </w:tcBorders>
            <w:vAlign w:val="center"/>
          </w:tcPr>
          <w:p>
            <w:pPr>
              <w:tabs>
                <w:tab w:val="left" w:pos="4320"/>
              </w:tabs>
              <w:kinsoku/>
              <w:overflowPunct/>
              <w:topLinePunct w:val="0"/>
              <w:bidi w:val="0"/>
              <w:outlineLvl w:val="9"/>
              <w:rPr>
                <w:rFonts w:hAnsi="宋体"/>
                <w:color w:val="auto"/>
                <w:sz w:val="18"/>
                <w:szCs w:val="18"/>
              </w:rPr>
            </w:pPr>
          </w:p>
        </w:tc>
        <w:tc>
          <w:tcPr>
            <w:tcW w:w="1226" w:type="dxa"/>
            <w:tcBorders>
              <w:top w:val="double" w:color="auto" w:sz="4" w:space="0"/>
            </w:tcBorders>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法定代表人</w:t>
            </w:r>
          </w:p>
        </w:tc>
        <w:tc>
          <w:tcPr>
            <w:tcW w:w="1326" w:type="dxa"/>
            <w:tcBorders>
              <w:top w:val="double" w:color="auto" w:sz="4" w:space="0"/>
            </w:tcBorders>
            <w:vAlign w:val="center"/>
          </w:tcPr>
          <w:p>
            <w:pPr>
              <w:tabs>
                <w:tab w:val="left" w:pos="4320"/>
              </w:tabs>
              <w:kinsoku/>
              <w:overflowPunct/>
              <w:topLinePunct w:val="0"/>
              <w:bidi w:val="0"/>
              <w:outlineLvl w:val="9"/>
              <w:rPr>
                <w:rFonts w:hAnsi="宋体"/>
                <w:color w:val="auto"/>
                <w:sz w:val="18"/>
                <w:szCs w:val="18"/>
              </w:rPr>
            </w:pPr>
          </w:p>
        </w:tc>
        <w:tc>
          <w:tcPr>
            <w:tcW w:w="992" w:type="dxa"/>
            <w:tcBorders>
              <w:top w:val="double" w:color="auto" w:sz="4" w:space="0"/>
            </w:tcBorders>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职务</w:t>
            </w:r>
          </w:p>
        </w:tc>
        <w:tc>
          <w:tcPr>
            <w:tcW w:w="1134" w:type="dxa"/>
            <w:tcBorders>
              <w:top w:val="double" w:color="auto" w:sz="4" w:space="0"/>
              <w:right w:val="double" w:color="auto" w:sz="4" w:space="0"/>
            </w:tcBorders>
            <w:vAlign w:val="center"/>
          </w:tcPr>
          <w:p>
            <w:pPr>
              <w:tabs>
                <w:tab w:val="left" w:pos="4320"/>
              </w:tabs>
              <w:kinsoku/>
              <w:overflowPunct/>
              <w:topLinePunct w:val="0"/>
              <w:bidi w:val="0"/>
              <w:outlineLvl w:val="9"/>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left w:val="double" w:color="auto" w:sz="4" w:space="0"/>
            </w:tcBorders>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地址</w:t>
            </w:r>
          </w:p>
        </w:tc>
        <w:tc>
          <w:tcPr>
            <w:tcW w:w="2083" w:type="dxa"/>
            <w:gridSpan w:val="2"/>
            <w:vAlign w:val="center"/>
          </w:tcPr>
          <w:p>
            <w:pPr>
              <w:tabs>
                <w:tab w:val="left" w:pos="4320"/>
              </w:tabs>
              <w:kinsoku/>
              <w:overflowPunct/>
              <w:topLinePunct w:val="0"/>
              <w:bidi w:val="0"/>
              <w:outlineLvl w:val="9"/>
              <w:rPr>
                <w:rFonts w:hAnsi="宋体"/>
                <w:color w:val="auto"/>
                <w:sz w:val="18"/>
                <w:szCs w:val="18"/>
              </w:rPr>
            </w:pPr>
          </w:p>
        </w:tc>
        <w:tc>
          <w:tcPr>
            <w:tcW w:w="894" w:type="dxa"/>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传真</w:t>
            </w:r>
          </w:p>
        </w:tc>
        <w:tc>
          <w:tcPr>
            <w:tcW w:w="992" w:type="dxa"/>
            <w:vAlign w:val="center"/>
          </w:tcPr>
          <w:p>
            <w:pPr>
              <w:tabs>
                <w:tab w:val="left" w:pos="4320"/>
              </w:tabs>
              <w:kinsoku/>
              <w:overflowPunct/>
              <w:topLinePunct w:val="0"/>
              <w:bidi w:val="0"/>
              <w:outlineLvl w:val="9"/>
              <w:rPr>
                <w:rFonts w:hAnsi="宋体"/>
                <w:color w:val="auto"/>
                <w:sz w:val="18"/>
                <w:szCs w:val="18"/>
              </w:rPr>
            </w:pPr>
          </w:p>
        </w:tc>
        <w:tc>
          <w:tcPr>
            <w:tcW w:w="1226" w:type="dxa"/>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被授权人</w:t>
            </w:r>
          </w:p>
        </w:tc>
        <w:tc>
          <w:tcPr>
            <w:tcW w:w="1326" w:type="dxa"/>
            <w:vAlign w:val="center"/>
          </w:tcPr>
          <w:p>
            <w:pPr>
              <w:tabs>
                <w:tab w:val="left" w:pos="4320"/>
              </w:tabs>
              <w:kinsoku/>
              <w:overflowPunct/>
              <w:topLinePunct w:val="0"/>
              <w:bidi w:val="0"/>
              <w:outlineLvl w:val="9"/>
              <w:rPr>
                <w:rFonts w:hAnsi="宋体"/>
                <w:color w:val="auto"/>
                <w:sz w:val="18"/>
                <w:szCs w:val="18"/>
              </w:rPr>
            </w:pPr>
          </w:p>
        </w:tc>
        <w:tc>
          <w:tcPr>
            <w:tcW w:w="992" w:type="dxa"/>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职务</w:t>
            </w:r>
          </w:p>
        </w:tc>
        <w:tc>
          <w:tcPr>
            <w:tcW w:w="1134" w:type="dxa"/>
            <w:tcBorders>
              <w:right w:val="double" w:color="auto" w:sz="4" w:space="0"/>
            </w:tcBorders>
            <w:vAlign w:val="center"/>
          </w:tcPr>
          <w:p>
            <w:pPr>
              <w:tabs>
                <w:tab w:val="left" w:pos="4320"/>
              </w:tabs>
              <w:kinsoku/>
              <w:overflowPunct/>
              <w:topLinePunct w:val="0"/>
              <w:bidi w:val="0"/>
              <w:outlineLvl w:val="9"/>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4" w:type="dxa"/>
            <w:tcBorders>
              <w:left w:val="double" w:color="auto" w:sz="4" w:space="0"/>
            </w:tcBorders>
            <w:vAlign w:val="center"/>
          </w:tcPr>
          <w:p>
            <w:pPr>
              <w:tabs>
                <w:tab w:val="left" w:pos="4320"/>
              </w:tabs>
              <w:kinsoku/>
              <w:overflowPunct/>
              <w:topLinePunct w:val="0"/>
              <w:bidi w:val="0"/>
              <w:ind w:left="180" w:hanging="180" w:hangingChars="100"/>
              <w:outlineLvl w:val="9"/>
              <w:rPr>
                <w:rFonts w:hAnsi="宋体"/>
                <w:color w:val="auto"/>
                <w:sz w:val="18"/>
                <w:szCs w:val="18"/>
              </w:rPr>
            </w:pPr>
            <w:r>
              <w:rPr>
                <w:rFonts w:hint="eastAsia" w:hAnsi="宋体"/>
                <w:color w:val="auto"/>
                <w:sz w:val="18"/>
                <w:szCs w:val="18"/>
              </w:rPr>
              <w:t>一、单位简历及隶属关系</w:t>
            </w:r>
          </w:p>
        </w:tc>
        <w:tc>
          <w:tcPr>
            <w:tcW w:w="2977" w:type="dxa"/>
            <w:gridSpan w:val="3"/>
            <w:vAlign w:val="center"/>
          </w:tcPr>
          <w:p>
            <w:pPr>
              <w:tabs>
                <w:tab w:val="left" w:pos="4320"/>
              </w:tabs>
              <w:kinsoku/>
              <w:overflowPunct/>
              <w:topLinePunct w:val="0"/>
              <w:bidi w:val="0"/>
              <w:outlineLvl w:val="9"/>
              <w:rPr>
                <w:rFonts w:hAnsi="宋体"/>
                <w:color w:val="auto"/>
                <w:sz w:val="18"/>
                <w:szCs w:val="18"/>
              </w:rPr>
            </w:pPr>
          </w:p>
        </w:tc>
        <w:tc>
          <w:tcPr>
            <w:tcW w:w="992" w:type="dxa"/>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单位优势及特长</w:t>
            </w:r>
          </w:p>
        </w:tc>
        <w:tc>
          <w:tcPr>
            <w:tcW w:w="4678" w:type="dxa"/>
            <w:gridSpan w:val="4"/>
            <w:tcBorders>
              <w:right w:val="double" w:color="auto" w:sz="4" w:space="0"/>
            </w:tcBorders>
            <w:vAlign w:val="center"/>
          </w:tcPr>
          <w:p>
            <w:pPr>
              <w:tabs>
                <w:tab w:val="left" w:pos="4320"/>
              </w:tabs>
              <w:kinsoku/>
              <w:overflowPunct/>
              <w:topLinePunct w:val="0"/>
              <w:bidi w:val="0"/>
              <w:outlineLvl w:val="9"/>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134" w:type="dxa"/>
            <w:vMerge w:val="restart"/>
            <w:tcBorders>
              <w:left w:val="double" w:color="auto" w:sz="4" w:space="0"/>
            </w:tcBorders>
            <w:vAlign w:val="center"/>
          </w:tcPr>
          <w:p>
            <w:pPr>
              <w:tabs>
                <w:tab w:val="left" w:pos="4320"/>
              </w:tabs>
              <w:kinsoku/>
              <w:overflowPunct/>
              <w:topLinePunct w:val="0"/>
              <w:bidi w:val="0"/>
              <w:ind w:left="200" w:hanging="199" w:hangingChars="111"/>
              <w:outlineLvl w:val="9"/>
              <w:rPr>
                <w:rFonts w:hAnsi="宋体"/>
                <w:color w:val="auto"/>
                <w:sz w:val="18"/>
                <w:szCs w:val="18"/>
              </w:rPr>
            </w:pPr>
            <w:r>
              <w:rPr>
                <w:rFonts w:hint="eastAsia" w:hAnsi="宋体"/>
                <w:color w:val="auto"/>
                <w:sz w:val="18"/>
                <w:szCs w:val="18"/>
              </w:rPr>
              <w:t>二、单位概况</w:t>
            </w:r>
          </w:p>
        </w:tc>
        <w:tc>
          <w:tcPr>
            <w:tcW w:w="965" w:type="dxa"/>
            <w:vMerge w:val="restart"/>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职工总数</w:t>
            </w:r>
          </w:p>
        </w:tc>
        <w:tc>
          <w:tcPr>
            <w:tcW w:w="1118" w:type="dxa"/>
            <w:vMerge w:val="restart"/>
            <w:vAlign w:val="center"/>
          </w:tcPr>
          <w:p>
            <w:pPr>
              <w:tabs>
                <w:tab w:val="left" w:pos="4320"/>
              </w:tabs>
              <w:kinsoku/>
              <w:overflowPunct/>
              <w:topLinePunct w:val="0"/>
              <w:bidi w:val="0"/>
              <w:jc w:val="right"/>
              <w:outlineLvl w:val="9"/>
              <w:rPr>
                <w:rFonts w:hAnsi="宋体"/>
                <w:color w:val="auto"/>
                <w:sz w:val="18"/>
                <w:szCs w:val="18"/>
              </w:rPr>
            </w:pPr>
            <w:r>
              <w:rPr>
                <w:rFonts w:hint="eastAsia" w:hAnsi="宋体"/>
                <w:color w:val="auto"/>
                <w:sz w:val="18"/>
                <w:szCs w:val="18"/>
              </w:rPr>
              <w:t>人</w:t>
            </w:r>
          </w:p>
        </w:tc>
        <w:tc>
          <w:tcPr>
            <w:tcW w:w="894" w:type="dxa"/>
            <w:vMerge w:val="restart"/>
            <w:vAlign w:val="center"/>
          </w:tcPr>
          <w:p>
            <w:pPr>
              <w:tabs>
                <w:tab w:val="left" w:pos="4320"/>
              </w:tabs>
              <w:kinsoku/>
              <w:overflowPunct/>
              <w:topLinePunct w:val="0"/>
              <w:bidi w:val="0"/>
              <w:outlineLvl w:val="9"/>
              <w:rPr>
                <w:rFonts w:hAnsi="宋体"/>
                <w:color w:val="auto"/>
                <w:sz w:val="18"/>
                <w:szCs w:val="18"/>
              </w:rPr>
            </w:pPr>
            <w:r>
              <w:rPr>
                <w:rFonts w:hint="eastAsia" w:hAnsi="宋体"/>
                <w:color w:val="auto"/>
                <w:sz w:val="18"/>
                <w:szCs w:val="18"/>
              </w:rPr>
              <w:t>上一年主要经济指标</w:t>
            </w:r>
          </w:p>
        </w:tc>
        <w:tc>
          <w:tcPr>
            <w:tcW w:w="992" w:type="dxa"/>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营业额</w:t>
            </w:r>
          </w:p>
        </w:tc>
        <w:tc>
          <w:tcPr>
            <w:tcW w:w="4678" w:type="dxa"/>
            <w:gridSpan w:val="4"/>
            <w:tcBorders>
              <w:right w:val="double" w:color="auto" w:sz="4" w:space="0"/>
            </w:tcBorders>
            <w:vAlign w:val="center"/>
          </w:tcPr>
          <w:p>
            <w:pPr>
              <w:tabs>
                <w:tab w:val="left" w:pos="4320"/>
              </w:tabs>
              <w:kinsoku/>
              <w:overflowPunct/>
              <w:topLinePunct w:val="0"/>
              <w:bidi w:val="0"/>
              <w:outlineLvl w:val="9"/>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1134" w:type="dxa"/>
            <w:vMerge w:val="continue"/>
            <w:tcBorders>
              <w:left w:val="double" w:color="auto" w:sz="4" w:space="0"/>
            </w:tcBorders>
            <w:vAlign w:val="center"/>
          </w:tcPr>
          <w:p>
            <w:pPr>
              <w:tabs>
                <w:tab w:val="left" w:pos="4320"/>
              </w:tabs>
              <w:kinsoku/>
              <w:overflowPunct/>
              <w:topLinePunct w:val="0"/>
              <w:bidi w:val="0"/>
              <w:ind w:left="200" w:hanging="199" w:hangingChars="111"/>
              <w:outlineLvl w:val="9"/>
              <w:rPr>
                <w:rFonts w:hAnsi="宋体"/>
                <w:color w:val="auto"/>
                <w:sz w:val="18"/>
                <w:szCs w:val="18"/>
              </w:rPr>
            </w:pPr>
          </w:p>
        </w:tc>
        <w:tc>
          <w:tcPr>
            <w:tcW w:w="965" w:type="dxa"/>
            <w:vMerge w:val="continue"/>
            <w:vAlign w:val="center"/>
          </w:tcPr>
          <w:p>
            <w:pPr>
              <w:tabs>
                <w:tab w:val="left" w:pos="4320"/>
              </w:tabs>
              <w:kinsoku/>
              <w:overflowPunct/>
              <w:topLinePunct w:val="0"/>
              <w:bidi w:val="0"/>
              <w:jc w:val="center"/>
              <w:outlineLvl w:val="9"/>
              <w:rPr>
                <w:rFonts w:hAnsi="宋体"/>
                <w:color w:val="auto"/>
                <w:sz w:val="18"/>
                <w:szCs w:val="18"/>
              </w:rPr>
            </w:pPr>
          </w:p>
        </w:tc>
        <w:tc>
          <w:tcPr>
            <w:tcW w:w="1118" w:type="dxa"/>
            <w:vMerge w:val="continue"/>
            <w:vAlign w:val="center"/>
          </w:tcPr>
          <w:p>
            <w:pPr>
              <w:tabs>
                <w:tab w:val="left" w:pos="4320"/>
              </w:tabs>
              <w:kinsoku/>
              <w:overflowPunct/>
              <w:topLinePunct w:val="0"/>
              <w:bidi w:val="0"/>
              <w:jc w:val="right"/>
              <w:outlineLvl w:val="9"/>
              <w:rPr>
                <w:rFonts w:hAnsi="宋体"/>
                <w:color w:val="auto"/>
                <w:sz w:val="18"/>
                <w:szCs w:val="18"/>
              </w:rPr>
            </w:pPr>
          </w:p>
        </w:tc>
        <w:tc>
          <w:tcPr>
            <w:tcW w:w="894" w:type="dxa"/>
            <w:vMerge w:val="continue"/>
            <w:vAlign w:val="center"/>
          </w:tcPr>
          <w:p>
            <w:pPr>
              <w:tabs>
                <w:tab w:val="left" w:pos="4320"/>
              </w:tabs>
              <w:kinsoku/>
              <w:overflowPunct/>
              <w:topLinePunct w:val="0"/>
              <w:bidi w:val="0"/>
              <w:outlineLvl w:val="9"/>
              <w:rPr>
                <w:rFonts w:hAnsi="宋体"/>
                <w:color w:val="auto"/>
                <w:sz w:val="18"/>
                <w:szCs w:val="18"/>
              </w:rPr>
            </w:pPr>
          </w:p>
        </w:tc>
        <w:tc>
          <w:tcPr>
            <w:tcW w:w="992" w:type="dxa"/>
            <w:vMerge w:val="restart"/>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主要项目</w:t>
            </w:r>
          </w:p>
        </w:tc>
        <w:tc>
          <w:tcPr>
            <w:tcW w:w="4678" w:type="dxa"/>
            <w:gridSpan w:val="4"/>
            <w:tcBorders>
              <w:right w:val="double" w:color="auto" w:sz="4" w:space="0"/>
            </w:tcBorders>
            <w:vAlign w:val="center"/>
          </w:tcPr>
          <w:p>
            <w:pPr>
              <w:tabs>
                <w:tab w:val="left" w:pos="4320"/>
              </w:tabs>
              <w:kinsoku/>
              <w:overflowPunct/>
              <w:topLinePunct w:val="0"/>
              <w:bidi w:val="0"/>
              <w:spacing w:before="120" w:after="120"/>
              <w:outlineLvl w:val="9"/>
              <w:rPr>
                <w:rFonts w:hAnsi="宋体"/>
                <w:color w:val="auto"/>
                <w:sz w:val="18"/>
                <w:szCs w:val="18"/>
              </w:rPr>
            </w:pPr>
            <w:r>
              <w:rPr>
                <w:rFonts w:hint="eastAsia"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134" w:type="dxa"/>
            <w:vMerge w:val="continue"/>
            <w:tcBorders>
              <w:left w:val="double" w:color="auto" w:sz="4" w:space="0"/>
            </w:tcBorders>
            <w:vAlign w:val="center"/>
          </w:tcPr>
          <w:p>
            <w:pPr>
              <w:tabs>
                <w:tab w:val="left" w:pos="4320"/>
              </w:tabs>
              <w:kinsoku/>
              <w:overflowPunct/>
              <w:topLinePunct w:val="0"/>
              <w:bidi w:val="0"/>
              <w:ind w:left="200" w:hanging="199" w:hangingChars="111"/>
              <w:outlineLvl w:val="9"/>
              <w:rPr>
                <w:rFonts w:hAnsi="宋体"/>
                <w:color w:val="auto"/>
                <w:sz w:val="18"/>
                <w:szCs w:val="18"/>
              </w:rPr>
            </w:pPr>
          </w:p>
        </w:tc>
        <w:tc>
          <w:tcPr>
            <w:tcW w:w="965" w:type="dxa"/>
            <w:vMerge w:val="continue"/>
            <w:vAlign w:val="center"/>
          </w:tcPr>
          <w:p>
            <w:pPr>
              <w:tabs>
                <w:tab w:val="left" w:pos="4320"/>
              </w:tabs>
              <w:kinsoku/>
              <w:overflowPunct/>
              <w:topLinePunct w:val="0"/>
              <w:bidi w:val="0"/>
              <w:jc w:val="center"/>
              <w:outlineLvl w:val="9"/>
              <w:rPr>
                <w:rFonts w:hAnsi="宋体"/>
                <w:color w:val="auto"/>
                <w:sz w:val="18"/>
                <w:szCs w:val="18"/>
              </w:rPr>
            </w:pPr>
          </w:p>
        </w:tc>
        <w:tc>
          <w:tcPr>
            <w:tcW w:w="1118" w:type="dxa"/>
            <w:vMerge w:val="continue"/>
            <w:vAlign w:val="center"/>
          </w:tcPr>
          <w:p>
            <w:pPr>
              <w:tabs>
                <w:tab w:val="left" w:pos="-48"/>
                <w:tab w:val="left" w:pos="4320"/>
              </w:tabs>
              <w:kinsoku/>
              <w:overflowPunct/>
              <w:topLinePunct w:val="0"/>
              <w:bidi w:val="0"/>
              <w:ind w:hanging="48"/>
              <w:jc w:val="right"/>
              <w:outlineLvl w:val="9"/>
              <w:rPr>
                <w:rFonts w:hAnsi="宋体"/>
                <w:color w:val="auto"/>
                <w:sz w:val="18"/>
                <w:szCs w:val="18"/>
              </w:rPr>
            </w:pPr>
          </w:p>
        </w:tc>
        <w:tc>
          <w:tcPr>
            <w:tcW w:w="894" w:type="dxa"/>
            <w:vMerge w:val="continue"/>
            <w:vAlign w:val="center"/>
          </w:tcPr>
          <w:p>
            <w:pPr>
              <w:tabs>
                <w:tab w:val="left" w:pos="4320"/>
              </w:tabs>
              <w:kinsoku/>
              <w:overflowPunct/>
              <w:topLinePunct w:val="0"/>
              <w:bidi w:val="0"/>
              <w:outlineLvl w:val="9"/>
              <w:rPr>
                <w:rFonts w:hAnsi="宋体"/>
                <w:color w:val="auto"/>
                <w:sz w:val="18"/>
                <w:szCs w:val="18"/>
              </w:rPr>
            </w:pPr>
          </w:p>
        </w:tc>
        <w:tc>
          <w:tcPr>
            <w:tcW w:w="992" w:type="dxa"/>
            <w:vMerge w:val="continue"/>
            <w:vAlign w:val="center"/>
          </w:tcPr>
          <w:p>
            <w:pPr>
              <w:tabs>
                <w:tab w:val="left" w:pos="4320"/>
              </w:tabs>
              <w:kinsoku/>
              <w:overflowPunct/>
              <w:topLinePunct w:val="0"/>
              <w:bidi w:val="0"/>
              <w:jc w:val="center"/>
              <w:outlineLvl w:val="9"/>
              <w:rPr>
                <w:rFonts w:hAnsi="宋体"/>
                <w:color w:val="auto"/>
                <w:sz w:val="18"/>
                <w:szCs w:val="18"/>
              </w:rPr>
            </w:pPr>
          </w:p>
        </w:tc>
        <w:tc>
          <w:tcPr>
            <w:tcW w:w="4678" w:type="dxa"/>
            <w:gridSpan w:val="4"/>
            <w:tcBorders>
              <w:right w:val="double" w:color="auto" w:sz="4" w:space="0"/>
            </w:tcBorders>
            <w:vAlign w:val="center"/>
          </w:tcPr>
          <w:p>
            <w:pPr>
              <w:tabs>
                <w:tab w:val="left" w:pos="4320"/>
              </w:tabs>
              <w:kinsoku/>
              <w:overflowPunct/>
              <w:topLinePunct w:val="0"/>
              <w:bidi w:val="0"/>
              <w:outlineLvl w:val="9"/>
              <w:rPr>
                <w:rFonts w:hAnsi="宋体"/>
                <w:color w:val="auto"/>
                <w:sz w:val="18"/>
                <w:szCs w:val="18"/>
              </w:rPr>
            </w:pPr>
            <w:r>
              <w:rPr>
                <w:rFonts w:hint="eastAsia" w:hAnsi="宋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134" w:type="dxa"/>
            <w:vMerge w:val="continue"/>
            <w:tcBorders>
              <w:left w:val="double" w:color="auto" w:sz="4" w:space="0"/>
            </w:tcBorders>
            <w:vAlign w:val="center"/>
          </w:tcPr>
          <w:p>
            <w:pPr>
              <w:tabs>
                <w:tab w:val="left" w:pos="4320"/>
              </w:tabs>
              <w:kinsoku/>
              <w:overflowPunct/>
              <w:topLinePunct w:val="0"/>
              <w:bidi w:val="0"/>
              <w:ind w:left="200" w:hanging="199" w:hangingChars="111"/>
              <w:outlineLvl w:val="9"/>
              <w:rPr>
                <w:rFonts w:hAnsi="宋体"/>
                <w:color w:val="auto"/>
                <w:sz w:val="18"/>
                <w:szCs w:val="18"/>
              </w:rPr>
            </w:pPr>
          </w:p>
        </w:tc>
        <w:tc>
          <w:tcPr>
            <w:tcW w:w="965" w:type="dxa"/>
            <w:vAlign w:val="center"/>
          </w:tcPr>
          <w:p>
            <w:pPr>
              <w:tabs>
                <w:tab w:val="left" w:pos="4320"/>
              </w:tabs>
              <w:kinsoku/>
              <w:overflowPunct/>
              <w:topLinePunct w:val="0"/>
              <w:bidi w:val="0"/>
              <w:jc w:val="center"/>
              <w:outlineLvl w:val="9"/>
              <w:rPr>
                <w:rFonts w:hAnsi="宋体"/>
                <w:color w:val="auto"/>
                <w:sz w:val="18"/>
                <w:szCs w:val="18"/>
              </w:rPr>
            </w:pPr>
            <w:r>
              <w:rPr>
                <w:rFonts w:hint="eastAsia" w:hAnsi="宋体"/>
                <w:color w:val="auto"/>
                <w:sz w:val="18"/>
                <w:szCs w:val="18"/>
              </w:rPr>
              <w:t>占地面积</w:t>
            </w:r>
          </w:p>
        </w:tc>
        <w:tc>
          <w:tcPr>
            <w:tcW w:w="1118" w:type="dxa"/>
            <w:vAlign w:val="center"/>
          </w:tcPr>
          <w:p>
            <w:pPr>
              <w:tabs>
                <w:tab w:val="left" w:pos="4320"/>
              </w:tabs>
              <w:kinsoku/>
              <w:overflowPunct/>
              <w:topLinePunct w:val="0"/>
              <w:bidi w:val="0"/>
              <w:jc w:val="right"/>
              <w:outlineLvl w:val="9"/>
              <w:rPr>
                <w:rFonts w:hAnsi="宋体"/>
                <w:color w:val="auto"/>
                <w:sz w:val="18"/>
                <w:szCs w:val="18"/>
              </w:rPr>
            </w:pPr>
            <w:r>
              <w:rPr>
                <w:rFonts w:hint="eastAsia" w:hAnsi="宋体"/>
                <w:color w:val="auto"/>
                <w:sz w:val="18"/>
                <w:szCs w:val="18"/>
              </w:rPr>
              <w:t>M</w:t>
            </w:r>
            <w:r>
              <w:rPr>
                <w:rFonts w:hint="eastAsia" w:hAnsi="宋体"/>
                <w:color w:val="auto"/>
                <w:sz w:val="18"/>
                <w:szCs w:val="18"/>
                <w:vertAlign w:val="superscript"/>
              </w:rPr>
              <w:t>2</w:t>
            </w:r>
          </w:p>
        </w:tc>
        <w:tc>
          <w:tcPr>
            <w:tcW w:w="894" w:type="dxa"/>
            <w:vMerge w:val="continue"/>
            <w:vAlign w:val="center"/>
          </w:tcPr>
          <w:p>
            <w:pPr>
              <w:tabs>
                <w:tab w:val="left" w:pos="4320"/>
              </w:tabs>
              <w:kinsoku/>
              <w:overflowPunct/>
              <w:topLinePunct w:val="0"/>
              <w:bidi w:val="0"/>
              <w:outlineLvl w:val="9"/>
              <w:rPr>
                <w:rFonts w:hAnsi="宋体"/>
                <w:color w:val="auto"/>
                <w:sz w:val="18"/>
                <w:szCs w:val="18"/>
              </w:rPr>
            </w:pPr>
          </w:p>
        </w:tc>
        <w:tc>
          <w:tcPr>
            <w:tcW w:w="992" w:type="dxa"/>
            <w:vMerge w:val="continue"/>
            <w:vAlign w:val="center"/>
          </w:tcPr>
          <w:p>
            <w:pPr>
              <w:tabs>
                <w:tab w:val="left" w:pos="4320"/>
              </w:tabs>
              <w:kinsoku/>
              <w:overflowPunct/>
              <w:topLinePunct w:val="0"/>
              <w:bidi w:val="0"/>
              <w:jc w:val="center"/>
              <w:outlineLvl w:val="9"/>
              <w:rPr>
                <w:rFonts w:hAnsi="宋体"/>
                <w:color w:val="auto"/>
                <w:sz w:val="18"/>
                <w:szCs w:val="18"/>
              </w:rPr>
            </w:pPr>
          </w:p>
        </w:tc>
        <w:tc>
          <w:tcPr>
            <w:tcW w:w="4678" w:type="dxa"/>
            <w:gridSpan w:val="4"/>
            <w:tcBorders>
              <w:right w:val="double" w:color="auto" w:sz="4" w:space="0"/>
            </w:tcBorders>
            <w:vAlign w:val="center"/>
          </w:tcPr>
          <w:p>
            <w:pPr>
              <w:tabs>
                <w:tab w:val="left" w:pos="4320"/>
              </w:tabs>
              <w:kinsoku/>
              <w:overflowPunct/>
              <w:topLinePunct w:val="0"/>
              <w:bidi w:val="0"/>
              <w:spacing w:before="120" w:after="120"/>
              <w:outlineLvl w:val="9"/>
              <w:rPr>
                <w:rFonts w:hAnsi="宋体"/>
                <w:color w:val="auto"/>
                <w:sz w:val="18"/>
                <w:szCs w:val="18"/>
              </w:rPr>
            </w:pPr>
            <w:r>
              <w:rPr>
                <w:rFonts w:hint="eastAsia" w:hAnsi="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134" w:type="dxa"/>
            <w:vMerge w:val="restart"/>
            <w:tcBorders>
              <w:left w:val="double" w:color="auto" w:sz="4" w:space="0"/>
            </w:tcBorders>
            <w:vAlign w:val="center"/>
          </w:tcPr>
          <w:p>
            <w:pPr>
              <w:tabs>
                <w:tab w:val="left" w:pos="4320"/>
              </w:tabs>
              <w:kinsoku/>
              <w:overflowPunct/>
              <w:topLinePunct w:val="0"/>
              <w:bidi w:val="0"/>
              <w:outlineLvl w:val="9"/>
              <w:rPr>
                <w:rFonts w:hAnsi="宋体"/>
                <w:color w:val="auto"/>
                <w:sz w:val="18"/>
                <w:szCs w:val="18"/>
              </w:rPr>
            </w:pPr>
            <w:r>
              <w:rPr>
                <w:rFonts w:hint="eastAsia" w:hAnsi="宋体"/>
                <w:color w:val="auto"/>
                <w:sz w:val="18"/>
                <w:szCs w:val="18"/>
              </w:rPr>
              <w:t>四、其它</w:t>
            </w:r>
          </w:p>
        </w:tc>
        <w:tc>
          <w:tcPr>
            <w:tcW w:w="3969" w:type="dxa"/>
            <w:gridSpan w:val="4"/>
            <w:vAlign w:val="center"/>
          </w:tcPr>
          <w:p>
            <w:pPr>
              <w:tabs>
                <w:tab w:val="left" w:pos="4320"/>
              </w:tabs>
              <w:kinsoku/>
              <w:overflowPunct/>
              <w:topLinePunct w:val="0"/>
              <w:bidi w:val="0"/>
              <w:spacing w:before="60" w:after="60"/>
              <w:outlineLvl w:val="9"/>
              <w:rPr>
                <w:rFonts w:hAnsi="宋体"/>
                <w:color w:val="auto"/>
                <w:sz w:val="18"/>
                <w:szCs w:val="18"/>
              </w:rPr>
            </w:pPr>
            <w:r>
              <w:rPr>
                <w:rFonts w:hint="eastAsia" w:hAnsi="宋体"/>
                <w:color w:val="auto"/>
                <w:sz w:val="18"/>
                <w:szCs w:val="18"/>
              </w:rPr>
              <w:t>近3年完成及正在执行的合同中发生的由于</w:t>
            </w:r>
            <w:r>
              <w:rPr>
                <w:rFonts w:hint="eastAsia" w:hAnsi="宋体"/>
                <w:color w:val="auto"/>
                <w:sz w:val="18"/>
                <w:szCs w:val="18"/>
                <w:lang w:eastAsia="zh-CN"/>
              </w:rPr>
              <w:t>响应供应商</w:t>
            </w:r>
            <w:r>
              <w:rPr>
                <w:rFonts w:hint="eastAsia" w:hAnsi="宋体"/>
                <w:color w:val="auto"/>
                <w:sz w:val="18"/>
                <w:szCs w:val="18"/>
              </w:rPr>
              <w:t>违约或部分违约而引起诉讼和受到索赔的案件具体情况及结果（须如实填写，若对此进行隐瞒，尔后又被采购人或</w:t>
            </w:r>
            <w:r>
              <w:rPr>
                <w:rFonts w:hint="eastAsia" w:hAnsi="宋体" w:cs="宋体"/>
                <w:color w:val="auto"/>
                <w:sz w:val="18"/>
                <w:szCs w:val="18"/>
              </w:rPr>
              <w:t>采购代理机构</w:t>
            </w:r>
            <w:r>
              <w:rPr>
                <w:rFonts w:hint="eastAsia" w:hAnsi="宋体"/>
                <w:color w:val="auto"/>
                <w:sz w:val="18"/>
                <w:szCs w:val="18"/>
              </w:rPr>
              <w:t>发现，或被它人举证成立，其报价资格将被取消）。</w:t>
            </w:r>
          </w:p>
        </w:tc>
        <w:tc>
          <w:tcPr>
            <w:tcW w:w="4678" w:type="dxa"/>
            <w:gridSpan w:val="4"/>
            <w:tcBorders>
              <w:right w:val="double" w:color="auto" w:sz="4" w:space="0"/>
            </w:tcBorders>
            <w:vAlign w:val="center"/>
          </w:tcPr>
          <w:p>
            <w:pPr>
              <w:tabs>
                <w:tab w:val="left" w:pos="4320"/>
              </w:tabs>
              <w:kinsoku/>
              <w:overflowPunct/>
              <w:topLinePunct w:val="0"/>
              <w:bidi w:val="0"/>
              <w:spacing w:before="60" w:after="60"/>
              <w:outlineLvl w:val="9"/>
              <w:rPr>
                <w:rFonts w:hAnsi="宋体"/>
                <w:color w:val="auto"/>
                <w:sz w:val="18"/>
                <w:szCs w:val="18"/>
              </w:rPr>
            </w:pPr>
            <w:r>
              <w:rPr>
                <w:rFonts w:hint="eastAsia" w:hAnsi="宋体"/>
                <w:color w:val="auto"/>
                <w:sz w:val="18"/>
                <w:szCs w:val="18"/>
              </w:rPr>
              <w:t>如有名称变更（非因该单位出现了与资格预审（如果经此程序）时的营业性质的根本改变以至不再满足本次谈判的要求），说明原名称因何种原因变更为现名称，并提供由工商管理部门出具的变更证明文件。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134" w:type="dxa"/>
            <w:vMerge w:val="continue"/>
            <w:tcBorders>
              <w:left w:val="double" w:color="auto" w:sz="4" w:space="0"/>
              <w:bottom w:val="double" w:color="auto" w:sz="4" w:space="0"/>
            </w:tcBorders>
            <w:vAlign w:val="center"/>
          </w:tcPr>
          <w:p>
            <w:pPr>
              <w:tabs>
                <w:tab w:val="left" w:pos="4320"/>
              </w:tabs>
              <w:kinsoku/>
              <w:overflowPunct/>
              <w:topLinePunct w:val="0"/>
              <w:bidi w:val="0"/>
              <w:outlineLvl w:val="9"/>
              <w:rPr>
                <w:rFonts w:hAnsi="宋体"/>
                <w:color w:val="auto"/>
                <w:sz w:val="18"/>
                <w:szCs w:val="18"/>
              </w:rPr>
            </w:pPr>
          </w:p>
        </w:tc>
        <w:tc>
          <w:tcPr>
            <w:tcW w:w="3969" w:type="dxa"/>
            <w:gridSpan w:val="4"/>
            <w:tcBorders>
              <w:bottom w:val="double" w:color="auto" w:sz="4" w:space="0"/>
            </w:tcBorders>
            <w:vAlign w:val="center"/>
          </w:tcPr>
          <w:p>
            <w:pPr>
              <w:tabs>
                <w:tab w:val="left" w:pos="4320"/>
              </w:tabs>
              <w:kinsoku/>
              <w:overflowPunct/>
              <w:topLinePunct w:val="0"/>
              <w:bidi w:val="0"/>
              <w:outlineLvl w:val="9"/>
              <w:rPr>
                <w:rFonts w:hAnsi="宋体"/>
                <w:color w:val="auto"/>
                <w:sz w:val="18"/>
                <w:szCs w:val="18"/>
              </w:rPr>
            </w:pPr>
          </w:p>
        </w:tc>
        <w:tc>
          <w:tcPr>
            <w:tcW w:w="4678" w:type="dxa"/>
            <w:gridSpan w:val="4"/>
            <w:tcBorders>
              <w:bottom w:val="double" w:color="auto" w:sz="4" w:space="0"/>
              <w:right w:val="double" w:color="auto" w:sz="4" w:space="0"/>
            </w:tcBorders>
            <w:vAlign w:val="center"/>
          </w:tcPr>
          <w:p>
            <w:pPr>
              <w:tabs>
                <w:tab w:val="left" w:pos="4320"/>
              </w:tabs>
              <w:kinsoku/>
              <w:overflowPunct/>
              <w:topLinePunct w:val="0"/>
              <w:bidi w:val="0"/>
              <w:outlineLvl w:val="9"/>
              <w:rPr>
                <w:rFonts w:hAnsi="宋体"/>
                <w:color w:val="auto"/>
                <w:sz w:val="18"/>
                <w:szCs w:val="18"/>
              </w:rPr>
            </w:pPr>
          </w:p>
        </w:tc>
      </w:tr>
    </w:tbl>
    <w:p>
      <w:pPr>
        <w:pStyle w:val="57"/>
        <w:kinsoku/>
        <w:overflowPunct/>
        <w:topLinePunct w:val="0"/>
        <w:bidi w:val="0"/>
        <w:spacing w:before="0" w:after="0" w:line="360" w:lineRule="auto"/>
        <w:ind w:left="840" w:hanging="840" w:hangingChars="400"/>
        <w:outlineLvl w:val="9"/>
        <w:rPr>
          <w:rFonts w:ascii="宋体" w:hAnsi="宋体"/>
          <w:bCs w:val="0"/>
          <w:color w:val="auto"/>
          <w:spacing w:val="0"/>
          <w:kern w:val="2"/>
          <w:sz w:val="21"/>
          <w:szCs w:val="21"/>
        </w:rPr>
      </w:pPr>
    </w:p>
    <w:p>
      <w:pPr>
        <w:pStyle w:val="57"/>
        <w:kinsoku/>
        <w:overflowPunct/>
        <w:topLinePunct w:val="0"/>
        <w:bidi w:val="0"/>
        <w:spacing w:before="0" w:after="0" w:line="360" w:lineRule="auto"/>
        <w:ind w:left="840" w:hanging="840" w:hangingChars="400"/>
        <w:outlineLvl w:val="9"/>
        <w:rPr>
          <w:rFonts w:ascii="宋体" w:hAnsi="宋体"/>
          <w:bCs w:val="0"/>
          <w:color w:val="auto"/>
          <w:spacing w:val="0"/>
          <w:kern w:val="2"/>
          <w:sz w:val="21"/>
          <w:szCs w:val="21"/>
        </w:rPr>
      </w:pPr>
      <w:r>
        <w:rPr>
          <w:rFonts w:hint="eastAsia" w:ascii="宋体" w:hAnsi="宋体"/>
          <w:bCs w:val="0"/>
          <w:color w:val="auto"/>
          <w:spacing w:val="0"/>
          <w:kern w:val="2"/>
          <w:sz w:val="21"/>
          <w:szCs w:val="21"/>
        </w:rPr>
        <w:t>注：1）文字描述：单位性质、发展历程、经营规模及货物理念、主营产品、技术力量等。</w:t>
      </w:r>
    </w:p>
    <w:p>
      <w:pPr>
        <w:kinsoku/>
        <w:overflowPunct/>
        <w:topLinePunct w:val="0"/>
        <w:bidi w:val="0"/>
        <w:spacing w:line="360" w:lineRule="auto"/>
        <w:ind w:firstLine="420" w:firstLineChars="200"/>
        <w:outlineLvl w:val="9"/>
        <w:rPr>
          <w:rFonts w:hAnsi="宋体"/>
          <w:color w:val="auto"/>
          <w:kern w:val="2"/>
          <w:sz w:val="21"/>
          <w:szCs w:val="21"/>
        </w:rPr>
      </w:pPr>
      <w:r>
        <w:rPr>
          <w:rFonts w:hint="eastAsia" w:hAnsi="宋体"/>
          <w:color w:val="auto"/>
          <w:kern w:val="2"/>
          <w:sz w:val="21"/>
          <w:szCs w:val="21"/>
        </w:rPr>
        <w:t>2）如</w:t>
      </w:r>
      <w:r>
        <w:rPr>
          <w:rFonts w:hint="eastAsia" w:hAnsi="宋体"/>
          <w:color w:val="auto"/>
          <w:kern w:val="2"/>
          <w:sz w:val="21"/>
          <w:szCs w:val="21"/>
          <w:lang w:eastAsia="zh-CN"/>
        </w:rPr>
        <w:t>响应供应商</w:t>
      </w:r>
      <w:r>
        <w:rPr>
          <w:rFonts w:hint="eastAsia" w:hAnsi="宋体"/>
          <w:color w:val="auto"/>
          <w:kern w:val="2"/>
          <w:sz w:val="21"/>
          <w:szCs w:val="21"/>
        </w:rPr>
        <w:t>此表数据有虚假，一经查实，自行承担相关责任。</w:t>
      </w:r>
    </w:p>
    <w:p>
      <w:pPr>
        <w:kinsoku/>
        <w:wordWrap w:val="0"/>
        <w:overflowPunct/>
        <w:topLinePunct w:val="0"/>
        <w:bidi w:val="0"/>
        <w:spacing w:line="360" w:lineRule="auto"/>
        <w:outlineLvl w:val="9"/>
        <w:rPr>
          <w:rFonts w:hAnsi="宋体"/>
          <w:color w:val="auto"/>
          <w:kern w:val="2"/>
          <w:sz w:val="21"/>
          <w:szCs w:val="21"/>
        </w:rPr>
      </w:pPr>
    </w:p>
    <w:p>
      <w:pPr>
        <w:pStyle w:val="15"/>
        <w:kinsoku/>
        <w:overflowPunct/>
        <w:topLinePunct w:val="0"/>
        <w:bidi w:val="0"/>
        <w:outlineLvl w:val="9"/>
        <w:rPr>
          <w:color w:val="auto"/>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440" w:lineRule="exact"/>
        <w:outlineLvl w:val="9"/>
        <w:rPr>
          <w:rFonts w:hAnsi="宋体"/>
          <w:color w:val="auto"/>
          <w:kern w:val="2"/>
          <w:sz w:val="21"/>
          <w:szCs w:val="21"/>
        </w:rPr>
      </w:pPr>
    </w:p>
    <w:p>
      <w:pPr>
        <w:kinsoku/>
        <w:overflowPunct/>
        <w:topLinePunct w:val="0"/>
        <w:bidi w:val="0"/>
        <w:spacing w:after="120" w:line="480" w:lineRule="exact"/>
        <w:outlineLvl w:val="9"/>
        <w:rPr>
          <w:rFonts w:hAnsi="宋体"/>
          <w:b/>
          <w:bCs/>
          <w:color w:val="auto"/>
          <w:sz w:val="21"/>
          <w:szCs w:val="21"/>
        </w:rPr>
      </w:pPr>
      <w:r>
        <w:rPr>
          <w:rFonts w:hint="eastAsia" w:hAnsi="宋体"/>
          <w:b/>
          <w:bCs/>
          <w:color w:val="auto"/>
          <w:sz w:val="21"/>
          <w:szCs w:val="21"/>
        </w:rPr>
        <w:t>附表2.4.2 合同条款响应程度（合同条款偏离表）格式</w:t>
      </w:r>
    </w:p>
    <w:p>
      <w:pPr>
        <w:kinsoku/>
        <w:overflowPunct/>
        <w:topLinePunct w:val="0"/>
        <w:bidi w:val="0"/>
        <w:spacing w:line="360" w:lineRule="auto"/>
        <w:jc w:val="center"/>
        <w:outlineLvl w:val="9"/>
        <w:rPr>
          <w:rFonts w:hAnsi="宋体"/>
          <w:color w:val="auto"/>
          <w:sz w:val="21"/>
          <w:szCs w:val="21"/>
        </w:rPr>
      </w:pPr>
    </w:p>
    <w:p>
      <w:pPr>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合同条款偏离表</w:t>
      </w:r>
    </w:p>
    <w:p>
      <w:pPr>
        <w:kinsoku/>
        <w:overflowPunct/>
        <w:topLinePunct w:val="0"/>
        <w:bidi w:val="0"/>
        <w:spacing w:line="360" w:lineRule="auto"/>
        <w:outlineLvl w:val="9"/>
        <w:rPr>
          <w:rFonts w:hAnsi="宋体"/>
          <w:color w:val="auto"/>
          <w:sz w:val="21"/>
          <w:szCs w:val="21"/>
          <w:u w:val="single"/>
        </w:rPr>
      </w:pPr>
      <w:r>
        <w:rPr>
          <w:rFonts w:hint="eastAsia" w:hAnsi="宋体"/>
          <w:color w:val="auto"/>
          <w:sz w:val="21"/>
          <w:szCs w:val="21"/>
          <w:lang w:eastAsia="zh-CN"/>
        </w:rPr>
        <w:t>响应供应商</w:t>
      </w:r>
      <w:r>
        <w:rPr>
          <w:rFonts w:hint="eastAsia" w:hAnsi="宋体"/>
          <w:color w:val="auto"/>
          <w:sz w:val="21"/>
          <w:szCs w:val="21"/>
        </w:rPr>
        <w:t>名称：</w:t>
      </w:r>
    </w:p>
    <w:p>
      <w:pPr>
        <w:kinsoku/>
        <w:overflowPunct/>
        <w:topLinePunct w:val="0"/>
        <w:bidi w:val="0"/>
        <w:spacing w:line="360" w:lineRule="auto"/>
        <w:outlineLvl w:val="9"/>
        <w:rPr>
          <w:rFonts w:hint="eastAsia" w:hAnsi="宋体" w:eastAsia="宋体"/>
          <w:color w:val="auto"/>
          <w:sz w:val="21"/>
          <w:szCs w:val="21"/>
          <w:lang w:eastAsia="zh-CN"/>
        </w:rPr>
      </w:pPr>
      <w:r>
        <w:rPr>
          <w:rFonts w:hint="eastAsia" w:hAnsi="宋体"/>
          <w:color w:val="auto"/>
          <w:sz w:val="21"/>
          <w:szCs w:val="21"/>
        </w:rPr>
        <w:t>项目名称：</w:t>
      </w:r>
      <w:r>
        <w:rPr>
          <w:rFonts w:hint="eastAsia" w:hAnsi="宋体"/>
          <w:color w:val="auto"/>
          <w:sz w:val="21"/>
          <w:szCs w:val="21"/>
          <w:lang w:eastAsia="zh-CN"/>
        </w:rPr>
        <w:t>洗衣房洗涤用品采购项目（第二次）</w:t>
      </w:r>
    </w:p>
    <w:p>
      <w:pPr>
        <w:kinsoku/>
        <w:overflowPunct/>
        <w:topLinePunct w:val="0"/>
        <w:bidi w:val="0"/>
        <w:spacing w:line="360" w:lineRule="auto"/>
        <w:outlineLvl w:val="9"/>
        <w:rPr>
          <w:rFonts w:hAnsi="宋体"/>
          <w:color w:val="auto"/>
          <w:sz w:val="21"/>
          <w:szCs w:val="21"/>
        </w:rPr>
      </w:pPr>
      <w:r>
        <w:rPr>
          <w:rFonts w:hint="eastAsia" w:hAnsi="宋体"/>
          <w:color w:val="auto"/>
          <w:sz w:val="21"/>
          <w:szCs w:val="21"/>
        </w:rPr>
        <w:t>项目编号：</w:t>
      </w:r>
      <w:r>
        <w:rPr>
          <w:rFonts w:hint="eastAsia" w:hAnsi="宋体"/>
          <w:color w:val="auto"/>
          <w:sz w:val="21"/>
          <w:szCs w:val="21"/>
          <w:lang w:eastAsia="zh-CN"/>
        </w:rPr>
        <w:t>NFQYCG2023002</w:t>
      </w:r>
      <w:r>
        <w:rPr>
          <w:rFonts w:hint="eastAsia" w:hAnsi="宋体"/>
          <w:color w:val="auto"/>
          <w:sz w:val="21"/>
          <w:szCs w:val="21"/>
        </w:rPr>
        <w:t xml:space="preserve"> </w:t>
      </w:r>
    </w:p>
    <w:tbl>
      <w:tblPr>
        <w:tblStyle w:val="21"/>
        <w:tblW w:w="9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522"/>
        <w:gridCol w:w="2591"/>
        <w:gridCol w:w="120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招标/谈判文件条目号</w:t>
            </w:r>
          </w:p>
        </w:tc>
        <w:tc>
          <w:tcPr>
            <w:tcW w:w="2522" w:type="dxa"/>
          </w:tcPr>
          <w:p>
            <w:pPr>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招标/谈判文件合同条款</w:t>
            </w:r>
          </w:p>
        </w:tc>
        <w:tc>
          <w:tcPr>
            <w:tcW w:w="2591" w:type="dxa"/>
          </w:tcPr>
          <w:p>
            <w:pPr>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投标/</w:t>
            </w:r>
            <w:r>
              <w:rPr>
                <w:rFonts w:hint="eastAsia" w:hAnsi="宋体"/>
                <w:color w:val="auto"/>
                <w:sz w:val="21"/>
                <w:szCs w:val="21"/>
                <w:lang w:eastAsia="zh-CN"/>
              </w:rPr>
              <w:t>响应文件</w:t>
            </w:r>
            <w:r>
              <w:rPr>
                <w:rFonts w:hint="eastAsia" w:hAnsi="宋体"/>
                <w:color w:val="auto"/>
                <w:sz w:val="21"/>
                <w:szCs w:val="21"/>
              </w:rPr>
              <w:t>合同条款</w:t>
            </w:r>
          </w:p>
        </w:tc>
        <w:tc>
          <w:tcPr>
            <w:tcW w:w="1200" w:type="dxa"/>
            <w:vAlign w:val="center"/>
          </w:tcPr>
          <w:p>
            <w:pPr>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偏离情况</w:t>
            </w:r>
          </w:p>
        </w:tc>
        <w:tc>
          <w:tcPr>
            <w:tcW w:w="992" w:type="dxa"/>
          </w:tcPr>
          <w:p>
            <w:pPr>
              <w:kinsoku/>
              <w:overflowPunct/>
              <w:topLinePunct w:val="0"/>
              <w:bidi w:val="0"/>
              <w:spacing w:line="360" w:lineRule="auto"/>
              <w:jc w:val="center"/>
              <w:outlineLvl w:val="9"/>
              <w:rPr>
                <w:rFonts w:hAnsi="宋体"/>
                <w:color w:val="auto"/>
                <w:sz w:val="21"/>
                <w:szCs w:val="21"/>
              </w:rPr>
            </w:pPr>
            <w:r>
              <w:rPr>
                <w:rFonts w:hint="eastAsia" w:hAnsi="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pStyle w:val="39"/>
              <w:kinsoku/>
              <w:overflowPunct/>
              <w:topLinePunct w:val="0"/>
              <w:bidi w:val="0"/>
              <w:spacing w:before="0" w:beforeAutospacing="0" w:after="0" w:afterAutospacing="0" w:line="360" w:lineRule="auto"/>
              <w:outlineLvl w:val="9"/>
              <w:rPr>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8" w:type="dxa"/>
          </w:tcPr>
          <w:p>
            <w:pPr>
              <w:kinsoku/>
              <w:overflowPunct/>
              <w:topLinePunct w:val="0"/>
              <w:bidi w:val="0"/>
              <w:spacing w:line="360" w:lineRule="auto"/>
              <w:outlineLvl w:val="9"/>
              <w:rPr>
                <w:rFonts w:hAnsi="宋体"/>
                <w:color w:val="auto"/>
                <w:sz w:val="21"/>
                <w:szCs w:val="21"/>
              </w:rPr>
            </w:pPr>
          </w:p>
        </w:tc>
        <w:tc>
          <w:tcPr>
            <w:tcW w:w="2522" w:type="dxa"/>
          </w:tcPr>
          <w:p>
            <w:pPr>
              <w:kinsoku/>
              <w:overflowPunct/>
              <w:topLinePunct w:val="0"/>
              <w:bidi w:val="0"/>
              <w:spacing w:line="360" w:lineRule="auto"/>
              <w:outlineLvl w:val="9"/>
              <w:rPr>
                <w:rFonts w:hAnsi="宋体"/>
                <w:color w:val="auto"/>
                <w:sz w:val="21"/>
                <w:szCs w:val="21"/>
              </w:rPr>
            </w:pPr>
          </w:p>
        </w:tc>
        <w:tc>
          <w:tcPr>
            <w:tcW w:w="2591" w:type="dxa"/>
          </w:tcPr>
          <w:p>
            <w:pPr>
              <w:kinsoku/>
              <w:overflowPunct/>
              <w:topLinePunct w:val="0"/>
              <w:bidi w:val="0"/>
              <w:spacing w:line="360" w:lineRule="auto"/>
              <w:outlineLvl w:val="9"/>
              <w:rPr>
                <w:rFonts w:hAnsi="宋体"/>
                <w:color w:val="auto"/>
                <w:sz w:val="21"/>
                <w:szCs w:val="21"/>
              </w:rPr>
            </w:pPr>
          </w:p>
        </w:tc>
        <w:tc>
          <w:tcPr>
            <w:tcW w:w="1200" w:type="dxa"/>
            <w:vAlign w:val="center"/>
          </w:tcPr>
          <w:p>
            <w:pPr>
              <w:kinsoku/>
              <w:overflowPunct/>
              <w:topLinePunct w:val="0"/>
              <w:bidi w:val="0"/>
              <w:spacing w:line="360" w:lineRule="auto"/>
              <w:jc w:val="center"/>
              <w:outlineLvl w:val="9"/>
              <w:rPr>
                <w:rFonts w:hAnsi="宋体"/>
                <w:color w:val="auto"/>
                <w:sz w:val="21"/>
                <w:szCs w:val="21"/>
              </w:rPr>
            </w:pPr>
          </w:p>
        </w:tc>
        <w:tc>
          <w:tcPr>
            <w:tcW w:w="992" w:type="dxa"/>
          </w:tcPr>
          <w:p>
            <w:pPr>
              <w:kinsoku/>
              <w:overflowPunct/>
              <w:topLinePunct w:val="0"/>
              <w:bidi w:val="0"/>
              <w:spacing w:line="360" w:lineRule="auto"/>
              <w:outlineLvl w:val="9"/>
              <w:rPr>
                <w:rFonts w:hAnsi="宋体"/>
                <w:color w:val="auto"/>
                <w:sz w:val="21"/>
                <w:szCs w:val="21"/>
              </w:rPr>
            </w:pPr>
          </w:p>
        </w:tc>
      </w:tr>
    </w:tbl>
    <w:p>
      <w:pPr>
        <w:kinsoku/>
        <w:overflowPunct/>
        <w:topLinePunct w:val="0"/>
        <w:bidi w:val="0"/>
        <w:spacing w:line="360" w:lineRule="auto"/>
        <w:outlineLvl w:val="9"/>
        <w:rPr>
          <w:rFonts w:hAnsi="宋体"/>
          <w:color w:val="auto"/>
          <w:sz w:val="21"/>
          <w:szCs w:val="21"/>
        </w:rPr>
      </w:pPr>
      <w:r>
        <w:rPr>
          <w:rFonts w:hint="eastAsia" w:hAnsi="宋体"/>
          <w:color w:val="auto"/>
          <w:sz w:val="21"/>
          <w:szCs w:val="21"/>
        </w:rPr>
        <w:t>注：</w:t>
      </w:r>
    </w:p>
    <w:p>
      <w:pPr>
        <w:kinsoku/>
        <w:overflowPunct/>
        <w:topLinePunct w:val="0"/>
        <w:bidi w:val="0"/>
        <w:spacing w:line="360" w:lineRule="auto"/>
        <w:outlineLvl w:val="9"/>
        <w:rPr>
          <w:rFonts w:hAnsi="宋体"/>
          <w:color w:val="auto"/>
          <w:sz w:val="21"/>
          <w:szCs w:val="21"/>
        </w:rPr>
      </w:pPr>
      <w:r>
        <w:rPr>
          <w:rFonts w:hint="eastAsia" w:hAnsi="宋体"/>
          <w:color w:val="auto"/>
          <w:sz w:val="21"/>
          <w:szCs w:val="21"/>
        </w:rPr>
        <w:t>1、</w:t>
      </w:r>
      <w:r>
        <w:rPr>
          <w:rFonts w:hint="eastAsia" w:hAnsi="宋体"/>
          <w:color w:val="auto"/>
          <w:sz w:val="21"/>
          <w:szCs w:val="21"/>
          <w:u w:val="single"/>
        </w:rPr>
        <w:t>本表必须对应谈判文件《合同条款》条目号逐项填写，不得有任何遗漏，否则视为不响应谈判文件要求；或针对与谈判文件《合同条款》条目号上有偏离款项填写相应的填写，并注明除填写的款项有偏离以外，其他款项均响应招标文件的要求。</w:t>
      </w:r>
    </w:p>
    <w:p>
      <w:pPr>
        <w:kinsoku/>
        <w:overflowPunct/>
        <w:topLinePunct w:val="0"/>
        <w:bidi w:val="0"/>
        <w:spacing w:line="360" w:lineRule="auto"/>
        <w:outlineLvl w:val="9"/>
        <w:rPr>
          <w:rFonts w:hAnsi="宋体"/>
          <w:color w:val="auto"/>
          <w:sz w:val="21"/>
          <w:szCs w:val="21"/>
        </w:rPr>
      </w:pPr>
      <w:r>
        <w:rPr>
          <w:rFonts w:hint="eastAsia" w:hAnsi="宋体"/>
          <w:color w:val="auto"/>
          <w:sz w:val="21"/>
          <w:szCs w:val="21"/>
        </w:rPr>
        <w:t>2、如有偏离，应在“偏离情况”栏内注明“有”，并在“说明”栏内予以说明；如无偏离，应在“偏离情况”栏内注明“无”。</w:t>
      </w:r>
    </w:p>
    <w:p>
      <w:pPr>
        <w:pStyle w:val="57"/>
        <w:kinsoku/>
        <w:overflowPunct/>
        <w:topLinePunct w:val="0"/>
        <w:bidi w:val="0"/>
        <w:outlineLvl w:val="9"/>
        <w:rPr>
          <w:rFonts w:ascii="仿宋_GB2312" w:hAnsi="仿宋" w:eastAsia="仿宋_GB2312"/>
          <w:color w:val="auto"/>
          <w:sz w:val="21"/>
          <w:szCs w:val="21"/>
        </w:rPr>
      </w:pPr>
    </w:p>
    <w:p>
      <w:pPr>
        <w:pStyle w:val="57"/>
        <w:kinsoku/>
        <w:overflowPunct/>
        <w:topLinePunct w:val="0"/>
        <w:bidi w:val="0"/>
        <w:outlineLvl w:val="9"/>
        <w:rPr>
          <w:rFonts w:ascii="仿宋_GB2312" w:hAnsi="仿宋" w:eastAsia="仿宋_GB2312"/>
          <w:color w:val="auto"/>
          <w:sz w:val="21"/>
          <w:szCs w:val="21"/>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pacing w:line="360" w:lineRule="auto"/>
        <w:outlineLvl w:val="9"/>
        <w:rPr>
          <w:rFonts w:hAnsi="宋体"/>
          <w:color w:val="auto"/>
          <w:kern w:val="2"/>
          <w:sz w:val="21"/>
          <w:szCs w:val="21"/>
        </w:rPr>
      </w:pPr>
    </w:p>
    <w:p>
      <w:pPr>
        <w:pStyle w:val="43"/>
        <w:kinsoku/>
        <w:overflowPunct/>
        <w:topLinePunct w:val="0"/>
        <w:bidi w:val="0"/>
        <w:spacing w:line="360" w:lineRule="exact"/>
        <w:jc w:val="both"/>
        <w:outlineLvl w:val="9"/>
        <w:rPr>
          <w:rFonts w:hAnsi="宋体"/>
          <w:b w:val="0"/>
          <w:color w:val="auto"/>
          <w:sz w:val="21"/>
          <w:szCs w:val="21"/>
        </w:rPr>
      </w:pPr>
    </w:p>
    <w:p>
      <w:pPr>
        <w:kinsoku/>
        <w:overflowPunct/>
        <w:topLinePunct w:val="0"/>
        <w:bidi w:val="0"/>
        <w:outlineLvl w:val="9"/>
        <w:rPr>
          <w:color w:val="auto"/>
        </w:rPr>
      </w:pPr>
      <w:bookmarkStart w:id="73" w:name="_Toc382840859"/>
      <w:bookmarkStart w:id="74" w:name="_Toc382926911"/>
    </w:p>
    <w:p>
      <w:pPr>
        <w:kinsoku/>
        <w:overflowPunct/>
        <w:topLinePunct w:val="0"/>
        <w:bidi w:val="0"/>
        <w:spacing w:after="120" w:line="480" w:lineRule="exact"/>
        <w:outlineLvl w:val="9"/>
        <w:rPr>
          <w:rFonts w:hAnsi="宋体"/>
          <w:b/>
          <w:color w:val="auto"/>
          <w:sz w:val="21"/>
          <w:szCs w:val="20"/>
        </w:rPr>
      </w:pPr>
      <w:r>
        <w:rPr>
          <w:rFonts w:hint="eastAsia" w:hAnsi="宋体"/>
          <w:b/>
          <w:color w:val="auto"/>
          <w:sz w:val="21"/>
          <w:szCs w:val="20"/>
        </w:rPr>
        <w:t>附表2.5 成交服务费承诺书格式</w:t>
      </w:r>
      <w:bookmarkEnd w:id="73"/>
      <w:bookmarkEnd w:id="74"/>
    </w:p>
    <w:p>
      <w:pPr>
        <w:kinsoku/>
        <w:overflowPunct/>
        <w:topLinePunct w:val="0"/>
        <w:bidi w:val="0"/>
        <w:spacing w:line="360" w:lineRule="auto"/>
        <w:ind w:right="893" w:firstLine="420"/>
        <w:jc w:val="both"/>
        <w:outlineLvl w:val="9"/>
        <w:rPr>
          <w:rFonts w:hAnsi="宋体"/>
          <w:color w:val="auto"/>
          <w:kern w:val="2"/>
          <w:sz w:val="21"/>
          <w:szCs w:val="21"/>
          <w:lang w:val="zh-CN"/>
        </w:rPr>
      </w:pPr>
    </w:p>
    <w:p>
      <w:pPr>
        <w:kinsoku/>
        <w:overflowPunct/>
        <w:topLinePunct w:val="0"/>
        <w:bidi w:val="0"/>
        <w:spacing w:line="360" w:lineRule="auto"/>
        <w:jc w:val="center"/>
        <w:outlineLvl w:val="9"/>
        <w:rPr>
          <w:rFonts w:hAnsi="宋体"/>
          <w:b/>
          <w:color w:val="auto"/>
          <w:sz w:val="28"/>
          <w:szCs w:val="28"/>
        </w:rPr>
      </w:pPr>
      <w:r>
        <w:rPr>
          <w:rFonts w:hint="eastAsia" w:hAnsi="宋体"/>
          <w:b/>
          <w:color w:val="auto"/>
          <w:sz w:val="28"/>
          <w:szCs w:val="28"/>
        </w:rPr>
        <w:t>成交服务费承诺书</w:t>
      </w:r>
    </w:p>
    <w:p>
      <w:pPr>
        <w:kinsoku/>
        <w:overflowPunct/>
        <w:topLinePunct w:val="0"/>
        <w:bidi w:val="0"/>
        <w:spacing w:line="360" w:lineRule="auto"/>
        <w:ind w:right="893" w:firstLine="420"/>
        <w:jc w:val="both"/>
        <w:outlineLvl w:val="9"/>
        <w:rPr>
          <w:rFonts w:hAnsi="宋体"/>
          <w:color w:val="auto"/>
          <w:kern w:val="2"/>
          <w:sz w:val="21"/>
          <w:szCs w:val="21"/>
          <w:lang w:val="zh-CN"/>
        </w:rPr>
      </w:pPr>
    </w:p>
    <w:p>
      <w:pPr>
        <w:kinsoku/>
        <w:overflowPunct/>
        <w:topLinePunct w:val="0"/>
        <w:bidi w:val="0"/>
        <w:spacing w:line="360" w:lineRule="auto"/>
        <w:ind w:right="893"/>
        <w:jc w:val="both"/>
        <w:outlineLvl w:val="9"/>
        <w:rPr>
          <w:rFonts w:hAnsi="宋体"/>
          <w:b/>
          <w:bCs/>
          <w:color w:val="auto"/>
          <w:kern w:val="2"/>
          <w:lang w:val="zh-CN"/>
        </w:rPr>
      </w:pPr>
      <w:r>
        <w:rPr>
          <w:rFonts w:hint="eastAsia" w:hAnsi="宋体"/>
          <w:b/>
          <w:bCs/>
          <w:color w:val="auto"/>
          <w:kern w:val="2"/>
          <w:lang w:val="zh-CN"/>
        </w:rPr>
        <w:t>致：</w:t>
      </w:r>
      <w:r>
        <w:rPr>
          <w:rFonts w:hint="eastAsia" w:hAnsi="宋体"/>
          <w:b/>
          <w:color w:val="auto"/>
          <w:u w:val="single"/>
        </w:rPr>
        <w:t>广东远东招标代理有限公司</w:t>
      </w:r>
    </w:p>
    <w:p>
      <w:pPr>
        <w:kinsoku/>
        <w:overflowPunct/>
        <w:topLinePunct w:val="0"/>
        <w:bidi w:val="0"/>
        <w:spacing w:line="360" w:lineRule="auto"/>
        <w:ind w:right="893" w:firstLine="420"/>
        <w:jc w:val="both"/>
        <w:outlineLvl w:val="9"/>
        <w:rPr>
          <w:rFonts w:hAnsi="宋体"/>
          <w:color w:val="auto"/>
          <w:kern w:val="2"/>
          <w:sz w:val="21"/>
          <w:szCs w:val="21"/>
          <w:lang w:val="zh-CN"/>
        </w:rPr>
      </w:pPr>
    </w:p>
    <w:p>
      <w:pPr>
        <w:tabs>
          <w:tab w:val="left" w:pos="-142"/>
        </w:tabs>
        <w:kinsoku/>
        <w:overflowPunct/>
        <w:topLinePunct w:val="0"/>
        <w:bidi w:val="0"/>
        <w:spacing w:line="360" w:lineRule="auto"/>
        <w:ind w:left="-36" w:leftChars="-15" w:right="18" w:firstLine="457" w:firstLineChars="218"/>
        <w:jc w:val="both"/>
        <w:outlineLvl w:val="9"/>
        <w:rPr>
          <w:rFonts w:hAnsi="宋体"/>
          <w:color w:val="auto"/>
          <w:kern w:val="2"/>
          <w:sz w:val="21"/>
          <w:lang w:val="zh-CN"/>
        </w:rPr>
      </w:pPr>
      <w:r>
        <w:rPr>
          <w:rFonts w:hint="eastAsia" w:hAnsi="宋体"/>
          <w:color w:val="auto"/>
          <w:kern w:val="2"/>
          <w:sz w:val="21"/>
          <w:lang w:val="zh-CN"/>
        </w:rPr>
        <w:t>我单位在贵司代理的</w:t>
      </w:r>
      <w:r>
        <w:rPr>
          <w:rFonts w:hint="eastAsia"/>
          <w:color w:val="auto"/>
          <w:sz w:val="21"/>
          <w:szCs w:val="21"/>
          <w:u w:val="single"/>
          <w:lang w:eastAsia="zh-CN"/>
        </w:rPr>
        <w:t>洗衣房洗涤用品采购项目（第二次）</w:t>
      </w:r>
      <w:r>
        <w:rPr>
          <w:rFonts w:hint="eastAsia" w:hAnsi="宋体"/>
          <w:color w:val="auto"/>
          <w:sz w:val="21"/>
          <w:szCs w:val="32"/>
        </w:rPr>
        <w:t>(</w:t>
      </w:r>
      <w:r>
        <w:rPr>
          <w:rFonts w:hint="eastAsia" w:hAnsi="宋体"/>
          <w:color w:val="auto"/>
          <w:kern w:val="2"/>
          <w:sz w:val="21"/>
          <w:szCs w:val="21"/>
          <w:lang w:val="zh-CN"/>
        </w:rPr>
        <w:t>项目编号：NFQYCG2023002)</w:t>
      </w:r>
      <w:r>
        <w:rPr>
          <w:rFonts w:hint="eastAsia" w:hAnsi="宋体"/>
          <w:color w:val="auto"/>
          <w:kern w:val="2"/>
          <w:sz w:val="21"/>
          <w:lang w:val="zh-CN"/>
        </w:rPr>
        <w:t>谈判中若获成交，我们保证在领取成交通知书原件的同时按谈判文件的规定，以银行转账、电汇或经贵公司认可的一种方式，向贵公司即</w:t>
      </w:r>
      <w:r>
        <w:rPr>
          <w:rFonts w:hint="eastAsia" w:hAnsi="宋体"/>
          <w:i w:val="0"/>
          <w:iCs/>
          <w:color w:val="auto"/>
          <w:kern w:val="2"/>
          <w:sz w:val="21"/>
          <w:u w:val="single"/>
          <w:lang w:val="zh-CN"/>
        </w:rPr>
        <w:t>广东远东招标代理有限公司</w:t>
      </w:r>
      <w:r>
        <w:rPr>
          <w:rFonts w:hint="eastAsia" w:hAnsi="宋体"/>
          <w:color w:val="auto"/>
          <w:kern w:val="2"/>
          <w:sz w:val="21"/>
          <w:lang w:val="zh-CN"/>
        </w:rPr>
        <w:t>指定的银行账号，一次性支付成交服务费（详见本谈判文件响应供应商须知第35款）。</w:t>
      </w:r>
    </w:p>
    <w:p>
      <w:pPr>
        <w:kinsoku/>
        <w:overflowPunct/>
        <w:topLinePunct w:val="0"/>
        <w:bidi w:val="0"/>
        <w:spacing w:line="360" w:lineRule="auto"/>
        <w:ind w:right="893"/>
        <w:jc w:val="both"/>
        <w:outlineLvl w:val="9"/>
        <w:rPr>
          <w:rFonts w:hAnsi="宋体"/>
          <w:color w:val="auto"/>
          <w:kern w:val="2"/>
          <w:sz w:val="21"/>
          <w:lang w:val="zh-CN"/>
        </w:rPr>
      </w:pPr>
    </w:p>
    <w:p>
      <w:pPr>
        <w:kinsoku/>
        <w:overflowPunct/>
        <w:topLinePunct w:val="0"/>
        <w:bidi w:val="0"/>
        <w:spacing w:line="360" w:lineRule="auto"/>
        <w:ind w:right="893" w:firstLine="480"/>
        <w:jc w:val="both"/>
        <w:outlineLvl w:val="9"/>
        <w:rPr>
          <w:rFonts w:hAnsi="宋体"/>
          <w:color w:val="auto"/>
          <w:kern w:val="2"/>
          <w:sz w:val="21"/>
          <w:lang w:val="zh-CN"/>
        </w:rPr>
      </w:pPr>
      <w:r>
        <w:rPr>
          <w:rFonts w:hint="eastAsia" w:hAnsi="宋体"/>
          <w:color w:val="auto"/>
          <w:kern w:val="2"/>
          <w:sz w:val="21"/>
          <w:lang w:val="zh-CN"/>
        </w:rPr>
        <w:t>特此承诺。</w:t>
      </w:r>
    </w:p>
    <w:p>
      <w:pPr>
        <w:kinsoku/>
        <w:overflowPunct/>
        <w:topLinePunct w:val="0"/>
        <w:bidi w:val="0"/>
        <w:spacing w:line="360" w:lineRule="auto"/>
        <w:ind w:right="893"/>
        <w:jc w:val="both"/>
        <w:outlineLvl w:val="9"/>
        <w:rPr>
          <w:rFonts w:hAnsi="宋体"/>
          <w:color w:val="auto"/>
          <w:kern w:val="2"/>
          <w:sz w:val="21"/>
          <w:lang w:val="zh-CN"/>
        </w:rPr>
      </w:pPr>
    </w:p>
    <w:p>
      <w:pPr>
        <w:kinsoku/>
        <w:overflowPunct/>
        <w:topLinePunct w:val="0"/>
        <w:bidi w:val="0"/>
        <w:spacing w:line="360" w:lineRule="auto"/>
        <w:ind w:right="893"/>
        <w:jc w:val="both"/>
        <w:outlineLvl w:val="9"/>
        <w:rPr>
          <w:rFonts w:hAnsi="宋体"/>
          <w:color w:val="auto"/>
          <w:kern w:val="2"/>
          <w:sz w:val="21"/>
          <w:lang w:val="zh-CN"/>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p>
    <w:p>
      <w:pPr>
        <w:kinsoku/>
        <w:overflowPunct/>
        <w:topLinePunct w:val="0"/>
        <w:bidi w:val="0"/>
        <w:spacing w:line="360" w:lineRule="auto"/>
        <w:outlineLvl w:val="9"/>
        <w:rPr>
          <w:rFonts w:hAnsi="宋体"/>
          <w:b/>
          <w:color w:val="auto"/>
          <w:sz w:val="21"/>
          <w:szCs w:val="20"/>
        </w:rPr>
      </w:pPr>
      <w:r>
        <w:rPr>
          <w:rFonts w:hAnsi="宋体"/>
          <w:b/>
          <w:color w:val="auto"/>
        </w:rPr>
        <w:br w:type="page"/>
      </w:r>
      <w:r>
        <w:rPr>
          <w:rFonts w:hint="eastAsia" w:hAnsi="宋体"/>
          <w:b/>
          <w:color w:val="auto"/>
          <w:sz w:val="21"/>
          <w:szCs w:val="20"/>
        </w:rPr>
        <w:t>附表2.6 退还保证金声明</w:t>
      </w:r>
      <w:r>
        <w:rPr>
          <w:rFonts w:hint="eastAsia" w:hAnsi="宋体"/>
          <w:b/>
          <w:color w:val="auto"/>
          <w:sz w:val="21"/>
          <w:szCs w:val="21"/>
        </w:rPr>
        <w:t>（如有）</w:t>
      </w:r>
    </w:p>
    <w:p>
      <w:pPr>
        <w:kinsoku/>
        <w:overflowPunct/>
        <w:topLinePunct w:val="0"/>
        <w:bidi w:val="0"/>
        <w:spacing w:line="480" w:lineRule="exact"/>
        <w:jc w:val="both"/>
        <w:outlineLvl w:val="9"/>
        <w:rPr>
          <w:rFonts w:hAnsi="宋体"/>
          <w:color w:val="auto"/>
          <w:sz w:val="21"/>
          <w:szCs w:val="21"/>
          <w:u w:val="single"/>
        </w:rPr>
      </w:pPr>
      <w:r>
        <w:rPr>
          <w:rFonts w:hint="eastAsia" w:hAnsi="宋体"/>
          <w:b/>
          <w:color w:val="auto"/>
          <w:sz w:val="21"/>
          <w:szCs w:val="21"/>
          <w:u w:val="single"/>
        </w:rPr>
        <w:t>广东远东招标代理有限公司</w:t>
      </w:r>
      <w:r>
        <w:rPr>
          <w:rFonts w:hint="eastAsia" w:hAnsi="宋体"/>
          <w:color w:val="auto"/>
          <w:sz w:val="21"/>
          <w:szCs w:val="21"/>
          <w:u w:val="single"/>
        </w:rPr>
        <w:t>:</w:t>
      </w:r>
    </w:p>
    <w:p>
      <w:pPr>
        <w:kinsoku/>
        <w:overflowPunct/>
        <w:topLinePunct w:val="0"/>
        <w:bidi w:val="0"/>
        <w:spacing w:line="360" w:lineRule="auto"/>
        <w:ind w:firstLine="480"/>
        <w:outlineLvl w:val="9"/>
        <w:rPr>
          <w:rFonts w:hAnsi="宋体"/>
          <w:color w:val="auto"/>
          <w:sz w:val="21"/>
          <w:szCs w:val="21"/>
        </w:rPr>
      </w:pPr>
      <w:r>
        <w:rPr>
          <w:rFonts w:hint="eastAsia" w:hAnsi="宋体"/>
          <w:color w:val="auto"/>
          <w:sz w:val="21"/>
          <w:szCs w:val="21"/>
        </w:rPr>
        <w:t>我方为</w:t>
      </w:r>
      <w:r>
        <w:rPr>
          <w:rFonts w:hint="eastAsia" w:hAnsi="宋体"/>
          <w:color w:val="auto"/>
          <w:sz w:val="21"/>
          <w:szCs w:val="21"/>
          <w:u w:val="single"/>
        </w:rPr>
        <w:t xml:space="preserve">“ </w:t>
      </w:r>
      <w:r>
        <w:rPr>
          <w:rFonts w:hint="eastAsia" w:hAnsi="宋体"/>
          <w:color w:val="auto"/>
          <w:sz w:val="21"/>
          <w:szCs w:val="21"/>
          <w:u w:val="single"/>
          <w:lang w:eastAsia="zh-CN"/>
        </w:rPr>
        <w:t>洗衣房洗涤用品采购项目（第二次）</w:t>
      </w:r>
      <w:r>
        <w:rPr>
          <w:rFonts w:hint="eastAsia" w:hAnsi="宋体"/>
          <w:color w:val="auto"/>
          <w:sz w:val="21"/>
          <w:szCs w:val="21"/>
          <w:u w:val="single"/>
        </w:rPr>
        <w:t>”</w:t>
      </w:r>
      <w:r>
        <w:rPr>
          <w:rFonts w:hint="eastAsia" w:hAnsi="宋体"/>
          <w:color w:val="auto"/>
          <w:sz w:val="21"/>
          <w:szCs w:val="21"/>
        </w:rPr>
        <w:t>（项目编号：</w:t>
      </w:r>
      <w:r>
        <w:rPr>
          <w:rFonts w:hint="eastAsia" w:hAnsi="宋体"/>
          <w:color w:val="auto"/>
          <w:sz w:val="21"/>
          <w:szCs w:val="21"/>
          <w:lang w:eastAsia="zh-CN"/>
        </w:rPr>
        <w:t>NFQYCG2023002</w:t>
      </w:r>
      <w:r>
        <w:rPr>
          <w:rFonts w:hint="eastAsia" w:hAnsi="宋体"/>
          <w:color w:val="auto"/>
          <w:sz w:val="21"/>
          <w:szCs w:val="21"/>
        </w:rPr>
        <w:t>）提交的</w:t>
      </w:r>
      <w:r>
        <w:rPr>
          <w:rFonts w:hint="eastAsia" w:hAnsi="宋体"/>
          <w:color w:val="auto"/>
          <w:sz w:val="21"/>
          <w:szCs w:val="21"/>
          <w:lang w:eastAsia="zh-CN"/>
        </w:rPr>
        <w:t>响应保证金</w:t>
      </w:r>
      <w:r>
        <w:rPr>
          <w:rFonts w:hint="eastAsia" w:hAnsi="宋体"/>
          <w:color w:val="auto"/>
          <w:sz w:val="21"/>
          <w:szCs w:val="21"/>
        </w:rPr>
        <w:t>，在符合退还条件时请代划入下列账户：</w:t>
      </w:r>
    </w:p>
    <w:tbl>
      <w:tblPr>
        <w:tblStyle w:val="21"/>
        <w:tblW w:w="92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2008"/>
        <w:gridCol w:w="7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02"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保证金提交方式</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□银行转账□银行汇票     □现金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开</w:t>
            </w:r>
            <w:r>
              <w:rPr>
                <w:rFonts w:hAnsi="宋体"/>
                <w:color w:val="auto"/>
                <w:sz w:val="21"/>
                <w:szCs w:val="21"/>
              </w:rPr>
              <w:t xml:space="preserve"> 户 人 名 </w:t>
            </w:r>
            <w:r>
              <w:rPr>
                <w:rFonts w:hint="eastAsia" w:hAnsi="宋体"/>
                <w:color w:val="auto"/>
                <w:sz w:val="21"/>
                <w:szCs w:val="21"/>
              </w:rPr>
              <w:t>称</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jc w:val="both"/>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开户银行</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jc w:val="both"/>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银行账号</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jc w:val="both"/>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总金额</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pPr>
              <w:kinsoku/>
              <w:overflowPunct/>
              <w:topLinePunct w:val="0"/>
              <w:bidi w:val="0"/>
              <w:spacing w:line="380" w:lineRule="exact"/>
              <w:outlineLvl w:val="9"/>
              <w:rPr>
                <w:rFonts w:hAnsi="宋体"/>
                <w:color w:val="auto"/>
                <w:sz w:val="21"/>
                <w:szCs w:val="21"/>
              </w:rPr>
            </w:pPr>
            <w:r>
              <w:rPr>
                <w:rFonts w:hint="eastAsia" w:hAnsi="宋体"/>
                <w:color w:val="auto"/>
                <w:sz w:val="21"/>
                <w:szCs w:val="21"/>
              </w:rPr>
              <w:t> </w:t>
            </w:r>
          </w:p>
        </w:tc>
      </w:tr>
    </w:tbl>
    <w:p>
      <w:pPr>
        <w:kinsoku/>
        <w:overflowPunct/>
        <w:topLinePunct w:val="0"/>
        <w:bidi w:val="0"/>
        <w:spacing w:line="360" w:lineRule="auto"/>
        <w:outlineLvl w:val="9"/>
        <w:rPr>
          <w:rFonts w:hAnsi="宋体"/>
          <w:color w:val="auto"/>
          <w:sz w:val="21"/>
          <w:szCs w:val="21"/>
        </w:rPr>
      </w:pPr>
    </w:p>
    <w:p>
      <w:pPr>
        <w:pStyle w:val="15"/>
        <w:kinsoku/>
        <w:overflowPunct/>
        <w:topLinePunct w:val="0"/>
        <w:bidi w:val="0"/>
        <w:outlineLvl w:val="9"/>
        <w:rPr>
          <w:color w:val="auto"/>
        </w:rPr>
      </w:pPr>
    </w:p>
    <w:p>
      <w:pPr>
        <w:kinsoku/>
        <w:overflowPunct/>
        <w:topLinePunct w:val="0"/>
        <w:bidi w:val="0"/>
        <w:outlineLvl w:val="9"/>
        <w:rPr>
          <w:color w:val="auto"/>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p>
    <w:p>
      <w:pPr>
        <w:kinsoku/>
        <w:overflowPunct/>
        <w:topLinePunct w:val="0"/>
        <w:bidi w:val="0"/>
        <w:spacing w:line="360" w:lineRule="auto"/>
        <w:outlineLvl w:val="9"/>
        <w:rPr>
          <w:rFonts w:hAnsi="宋体"/>
          <w:b/>
          <w:color w:val="auto"/>
          <w:sz w:val="21"/>
          <w:szCs w:val="21"/>
        </w:rPr>
      </w:pPr>
      <w:r>
        <w:rPr>
          <w:rFonts w:hint="eastAsia" w:hAnsi="宋体"/>
          <w:color w:val="auto"/>
          <w:sz w:val="21"/>
          <w:szCs w:val="21"/>
          <w:lang w:val="zh-CN"/>
        </w:rPr>
        <w:t>注：银行汇款底单复印件（加盖响应供应商法人公章）或由采购代理机构出具的响应保证金收据复印件及退还保证金声明应装在唱标信封内，封口盖公章并在报价截止时间前提交。</w:t>
      </w: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kinsoku/>
        <w:overflowPunct/>
        <w:topLinePunct w:val="0"/>
        <w:bidi w:val="0"/>
        <w:spacing w:line="360" w:lineRule="auto"/>
        <w:outlineLvl w:val="9"/>
        <w:rPr>
          <w:rFonts w:hAnsi="宋体"/>
          <w:b/>
          <w:color w:val="auto"/>
          <w:sz w:val="21"/>
          <w:szCs w:val="21"/>
        </w:rPr>
      </w:pPr>
    </w:p>
    <w:p>
      <w:pPr>
        <w:pStyle w:val="57"/>
        <w:kinsoku/>
        <w:overflowPunct/>
        <w:topLinePunct w:val="0"/>
        <w:bidi w:val="0"/>
        <w:outlineLvl w:val="9"/>
        <w:rPr>
          <w:rFonts w:hAnsi="宋体"/>
          <w:b/>
          <w:color w:val="auto"/>
          <w:sz w:val="21"/>
          <w:szCs w:val="21"/>
        </w:rPr>
      </w:pPr>
    </w:p>
    <w:p>
      <w:pPr>
        <w:pStyle w:val="10"/>
        <w:kinsoku/>
        <w:overflowPunct/>
        <w:topLinePunct w:val="0"/>
        <w:bidi w:val="0"/>
        <w:outlineLvl w:val="9"/>
        <w:rPr>
          <w:color w:val="auto"/>
        </w:rPr>
      </w:pPr>
    </w:p>
    <w:p>
      <w:pPr>
        <w:pStyle w:val="57"/>
        <w:kinsoku/>
        <w:overflowPunct/>
        <w:topLinePunct w:val="0"/>
        <w:bidi w:val="0"/>
        <w:outlineLvl w:val="9"/>
        <w:rPr>
          <w:rFonts w:hAnsi="宋体"/>
          <w:b/>
          <w:color w:val="auto"/>
          <w:sz w:val="21"/>
          <w:szCs w:val="21"/>
        </w:rPr>
      </w:pPr>
    </w:p>
    <w:p>
      <w:pPr>
        <w:pStyle w:val="57"/>
        <w:kinsoku/>
        <w:overflowPunct/>
        <w:topLinePunct w:val="0"/>
        <w:bidi w:val="0"/>
        <w:outlineLvl w:val="9"/>
        <w:rPr>
          <w:rFonts w:hAnsi="宋体"/>
          <w:b/>
          <w:color w:val="auto"/>
          <w:sz w:val="21"/>
          <w:szCs w:val="21"/>
        </w:rPr>
      </w:pPr>
    </w:p>
    <w:p>
      <w:pPr>
        <w:kinsoku/>
        <w:overflowPunct/>
        <w:topLinePunct w:val="0"/>
        <w:bidi w:val="0"/>
        <w:spacing w:after="120" w:line="480" w:lineRule="exact"/>
        <w:outlineLvl w:val="9"/>
        <w:rPr>
          <w:rFonts w:hAnsi="宋体"/>
          <w:b/>
          <w:bCs/>
          <w:color w:val="auto"/>
          <w:sz w:val="21"/>
          <w:szCs w:val="21"/>
        </w:rPr>
      </w:pPr>
      <w:r>
        <w:rPr>
          <w:rFonts w:hint="eastAsia" w:hAnsi="宋体"/>
          <w:b/>
          <w:bCs/>
          <w:color w:val="auto"/>
          <w:sz w:val="21"/>
          <w:szCs w:val="21"/>
        </w:rPr>
        <w:t>附表2.7 项目管理架构格式</w:t>
      </w:r>
    </w:p>
    <w:p>
      <w:pPr>
        <w:kinsoku/>
        <w:overflowPunct/>
        <w:topLinePunct w:val="0"/>
        <w:bidi w:val="0"/>
        <w:outlineLvl w:val="9"/>
        <w:rPr>
          <w:rFonts w:hAnsi="宋体"/>
          <w:color w:val="auto"/>
          <w:sz w:val="21"/>
          <w:szCs w:val="21"/>
        </w:rPr>
      </w:pPr>
    </w:p>
    <w:tbl>
      <w:tblPr>
        <w:tblStyle w:val="21"/>
        <w:tblW w:w="10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589"/>
        <w:gridCol w:w="993"/>
        <w:gridCol w:w="3094"/>
        <w:gridCol w:w="796"/>
        <w:gridCol w:w="796"/>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223" w:type="dxa"/>
            <w:tcBorders>
              <w:top w:val="single" w:color="auto" w:sz="4" w:space="0"/>
              <w:left w:val="single" w:color="auto" w:sz="4" w:space="0"/>
              <w:bottom w:val="nil"/>
              <w:right w:val="single" w:color="auto" w:sz="4" w:space="0"/>
            </w:tcBorders>
            <w:shd w:val="clear" w:color="auto" w:fill="F3F3F3"/>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职责分工</w:t>
            </w:r>
          </w:p>
        </w:tc>
        <w:tc>
          <w:tcPr>
            <w:tcW w:w="1589" w:type="dxa"/>
            <w:tcBorders>
              <w:top w:val="single" w:color="auto" w:sz="4" w:space="0"/>
              <w:left w:val="single" w:color="auto" w:sz="4" w:space="0"/>
              <w:bottom w:val="nil"/>
              <w:right w:val="single" w:color="auto" w:sz="4" w:space="0"/>
            </w:tcBorders>
            <w:shd w:val="clear" w:color="auto" w:fill="F3F3F3"/>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姓名</w:t>
            </w:r>
          </w:p>
        </w:tc>
        <w:tc>
          <w:tcPr>
            <w:tcW w:w="993" w:type="dxa"/>
            <w:tcBorders>
              <w:top w:val="single" w:color="auto" w:sz="4" w:space="0"/>
              <w:left w:val="single" w:color="auto" w:sz="4" w:space="0"/>
              <w:bottom w:val="nil"/>
            </w:tcBorders>
            <w:shd w:val="clear" w:color="auto" w:fill="F3F3F3"/>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现职务</w:t>
            </w:r>
          </w:p>
        </w:tc>
        <w:tc>
          <w:tcPr>
            <w:tcW w:w="3094" w:type="dxa"/>
            <w:tcBorders>
              <w:top w:val="single" w:color="auto" w:sz="4" w:space="0"/>
              <w:bottom w:val="nil"/>
            </w:tcBorders>
            <w:shd w:val="clear" w:color="auto" w:fill="F3F3F3"/>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曾主持/参与的同类项目经历</w:t>
            </w:r>
          </w:p>
        </w:tc>
        <w:tc>
          <w:tcPr>
            <w:tcW w:w="796" w:type="dxa"/>
            <w:tcBorders>
              <w:top w:val="single" w:color="auto" w:sz="4" w:space="0"/>
              <w:bottom w:val="nil"/>
            </w:tcBorders>
            <w:shd w:val="clear" w:color="auto" w:fill="F3F3F3"/>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职称</w:t>
            </w:r>
          </w:p>
        </w:tc>
        <w:tc>
          <w:tcPr>
            <w:tcW w:w="796" w:type="dxa"/>
            <w:tcBorders>
              <w:top w:val="single" w:color="auto" w:sz="4" w:space="0"/>
              <w:bottom w:val="nil"/>
              <w:right w:val="single" w:color="auto" w:sz="4" w:space="0"/>
            </w:tcBorders>
            <w:shd w:val="clear" w:color="auto" w:fill="F3F3F3"/>
            <w:vAlign w:val="center"/>
          </w:tcPr>
          <w:p>
            <w:pPr>
              <w:kinsoku/>
              <w:overflowPunct/>
              <w:topLinePunct w:val="0"/>
              <w:bidi w:val="0"/>
              <w:ind w:firstLine="12"/>
              <w:jc w:val="center"/>
              <w:outlineLvl w:val="9"/>
              <w:rPr>
                <w:rFonts w:hAnsi="宋体"/>
                <w:color w:val="auto"/>
                <w:sz w:val="21"/>
                <w:szCs w:val="21"/>
              </w:rPr>
            </w:pPr>
            <w:r>
              <w:rPr>
                <w:rFonts w:hint="eastAsia" w:hAnsi="宋体"/>
                <w:color w:val="auto"/>
                <w:sz w:val="21"/>
                <w:szCs w:val="21"/>
              </w:rPr>
              <w:t>专业工龄</w:t>
            </w:r>
          </w:p>
        </w:tc>
        <w:tc>
          <w:tcPr>
            <w:tcW w:w="1789" w:type="dxa"/>
            <w:tcBorders>
              <w:top w:val="single" w:color="auto" w:sz="4" w:space="0"/>
              <w:bottom w:val="nil"/>
              <w:right w:val="single" w:color="auto" w:sz="4" w:space="0"/>
            </w:tcBorders>
            <w:shd w:val="clear" w:color="auto" w:fill="F3F3F3"/>
            <w:vAlign w:val="center"/>
          </w:tcPr>
          <w:p>
            <w:pPr>
              <w:kinsoku/>
              <w:overflowPunct/>
              <w:topLinePunct w:val="0"/>
              <w:bidi w:val="0"/>
              <w:ind w:firstLine="12"/>
              <w:jc w:val="center"/>
              <w:outlineLvl w:val="9"/>
              <w:rPr>
                <w:rFonts w:hAnsi="宋体"/>
                <w:color w:val="auto"/>
                <w:sz w:val="21"/>
                <w:szCs w:val="21"/>
              </w:rPr>
            </w:pPr>
            <w:r>
              <w:rPr>
                <w:rFonts w:hint="eastAsia" w:hAnsi="宋体"/>
                <w:color w:val="auto"/>
                <w:sz w:val="21"/>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3" w:type="dxa"/>
            <w:tcBorders>
              <w:top w:val="single" w:color="auto" w:sz="4" w:space="0"/>
              <w:left w:val="single" w:color="auto" w:sz="4" w:space="0"/>
              <w:bottom w:val="nil"/>
              <w:right w:val="single" w:color="auto" w:sz="4" w:space="0"/>
            </w:tcBorders>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总负责人</w:t>
            </w:r>
          </w:p>
        </w:tc>
        <w:tc>
          <w:tcPr>
            <w:tcW w:w="1589" w:type="dxa"/>
            <w:tcBorders>
              <w:top w:val="single" w:color="auto" w:sz="4" w:space="0"/>
              <w:left w:val="single" w:color="auto" w:sz="4" w:space="0"/>
              <w:bottom w:val="nil"/>
              <w:right w:val="single" w:color="auto" w:sz="4" w:space="0"/>
            </w:tcBorders>
            <w:vAlign w:val="center"/>
          </w:tcPr>
          <w:p>
            <w:pPr>
              <w:kinsoku/>
              <w:overflowPunct/>
              <w:topLinePunct w:val="0"/>
              <w:bidi w:val="0"/>
              <w:jc w:val="center"/>
              <w:outlineLvl w:val="9"/>
              <w:rPr>
                <w:rFonts w:hAnsi="宋体"/>
                <w:color w:val="auto"/>
                <w:sz w:val="21"/>
                <w:szCs w:val="21"/>
              </w:rPr>
            </w:pPr>
          </w:p>
        </w:tc>
        <w:tc>
          <w:tcPr>
            <w:tcW w:w="993" w:type="dxa"/>
            <w:tcBorders>
              <w:top w:val="single" w:color="auto" w:sz="4" w:space="0"/>
              <w:left w:val="single" w:color="auto" w:sz="4" w:space="0"/>
              <w:bottom w:val="nil"/>
            </w:tcBorders>
            <w:vAlign w:val="center"/>
          </w:tcPr>
          <w:p>
            <w:pPr>
              <w:kinsoku/>
              <w:overflowPunct/>
              <w:topLinePunct w:val="0"/>
              <w:bidi w:val="0"/>
              <w:jc w:val="center"/>
              <w:outlineLvl w:val="9"/>
              <w:rPr>
                <w:rFonts w:hAnsi="宋体"/>
                <w:color w:val="auto"/>
                <w:sz w:val="21"/>
                <w:szCs w:val="21"/>
              </w:rPr>
            </w:pPr>
          </w:p>
        </w:tc>
        <w:tc>
          <w:tcPr>
            <w:tcW w:w="3094" w:type="dxa"/>
            <w:tcBorders>
              <w:top w:val="single" w:color="auto" w:sz="4" w:space="0"/>
              <w:bottom w:val="nil"/>
            </w:tcBorders>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sz w:val="21"/>
                <w:szCs w:val="21"/>
              </w:rPr>
            </w:pPr>
          </w:p>
        </w:tc>
        <w:tc>
          <w:tcPr>
            <w:tcW w:w="796" w:type="dxa"/>
            <w:tcBorders>
              <w:top w:val="single" w:color="auto" w:sz="4" w:space="0"/>
              <w:bottom w:val="nil"/>
            </w:tcBorders>
            <w:vAlign w:val="center"/>
          </w:tcPr>
          <w:p>
            <w:pPr>
              <w:kinsoku/>
              <w:overflowPunct/>
              <w:topLinePunct w:val="0"/>
              <w:bidi w:val="0"/>
              <w:jc w:val="center"/>
              <w:outlineLvl w:val="9"/>
              <w:rPr>
                <w:rFonts w:hAnsi="宋体"/>
                <w:color w:val="auto"/>
                <w:sz w:val="21"/>
                <w:szCs w:val="21"/>
              </w:rPr>
            </w:pPr>
          </w:p>
        </w:tc>
        <w:tc>
          <w:tcPr>
            <w:tcW w:w="796" w:type="dxa"/>
            <w:tcBorders>
              <w:top w:val="single" w:color="auto" w:sz="4" w:space="0"/>
              <w:bottom w:val="nil"/>
              <w:right w:val="single" w:color="auto" w:sz="4" w:space="0"/>
            </w:tcBorders>
            <w:vAlign w:val="center"/>
          </w:tcPr>
          <w:p>
            <w:pPr>
              <w:kinsoku/>
              <w:overflowPunct/>
              <w:topLinePunct w:val="0"/>
              <w:bidi w:val="0"/>
              <w:ind w:firstLine="12"/>
              <w:jc w:val="center"/>
              <w:outlineLvl w:val="9"/>
              <w:rPr>
                <w:rFonts w:hAnsi="宋体"/>
                <w:color w:val="auto"/>
                <w:sz w:val="21"/>
                <w:szCs w:val="21"/>
              </w:rPr>
            </w:pPr>
          </w:p>
        </w:tc>
        <w:tc>
          <w:tcPr>
            <w:tcW w:w="1789" w:type="dxa"/>
            <w:tcBorders>
              <w:top w:val="single" w:color="auto" w:sz="4" w:space="0"/>
              <w:bottom w:val="nil"/>
              <w:right w:val="single" w:color="auto" w:sz="4" w:space="0"/>
            </w:tcBorders>
            <w:vAlign w:val="center"/>
          </w:tcPr>
          <w:p>
            <w:pPr>
              <w:kinsoku/>
              <w:overflowPunct/>
              <w:topLinePunct w:val="0"/>
              <w:bidi w:val="0"/>
              <w:ind w:firstLine="12"/>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223" w:type="dxa"/>
            <w:vMerge w:val="restart"/>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其他主要技术人员</w:t>
            </w:r>
          </w:p>
        </w:tc>
        <w:tc>
          <w:tcPr>
            <w:tcW w:w="1589" w:type="dxa"/>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p>
        </w:tc>
        <w:tc>
          <w:tcPr>
            <w:tcW w:w="993" w:type="dxa"/>
            <w:tcBorders>
              <w:left w:val="single" w:color="auto" w:sz="4" w:space="0"/>
            </w:tcBorders>
            <w:vAlign w:val="center"/>
          </w:tcPr>
          <w:p>
            <w:pPr>
              <w:kinsoku/>
              <w:overflowPunct/>
              <w:topLinePunct w:val="0"/>
              <w:bidi w:val="0"/>
              <w:jc w:val="center"/>
              <w:outlineLvl w:val="9"/>
              <w:rPr>
                <w:rFonts w:hAnsi="宋体"/>
                <w:color w:val="auto"/>
                <w:sz w:val="21"/>
                <w:szCs w:val="21"/>
              </w:rPr>
            </w:pPr>
          </w:p>
        </w:tc>
        <w:tc>
          <w:tcPr>
            <w:tcW w:w="3094" w:type="dxa"/>
            <w:vAlign w:val="center"/>
          </w:tcPr>
          <w:p>
            <w:pPr>
              <w:kinsoku/>
              <w:overflowPunct/>
              <w:topLinePunct w:val="0"/>
              <w:bidi w:val="0"/>
              <w:jc w:val="center"/>
              <w:outlineLvl w:val="9"/>
              <w:rPr>
                <w:rFonts w:hAnsi="宋体"/>
                <w:color w:val="auto"/>
                <w:sz w:val="21"/>
                <w:szCs w:val="21"/>
              </w:rPr>
            </w:pPr>
          </w:p>
        </w:tc>
        <w:tc>
          <w:tcPr>
            <w:tcW w:w="796" w:type="dxa"/>
            <w:vAlign w:val="center"/>
          </w:tcPr>
          <w:p>
            <w:pPr>
              <w:kinsoku/>
              <w:overflowPunct/>
              <w:topLinePunct w:val="0"/>
              <w:bidi w:val="0"/>
              <w:jc w:val="center"/>
              <w:outlineLvl w:val="9"/>
              <w:rPr>
                <w:rFonts w:hAnsi="宋体"/>
                <w:color w:val="auto"/>
                <w:sz w:val="21"/>
                <w:szCs w:val="21"/>
              </w:rPr>
            </w:pPr>
          </w:p>
        </w:tc>
        <w:tc>
          <w:tcPr>
            <w:tcW w:w="796"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c>
          <w:tcPr>
            <w:tcW w:w="1789"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223" w:type="dxa"/>
            <w:vMerge w:val="continue"/>
            <w:tcBorders>
              <w:left w:val="single" w:color="auto" w:sz="4" w:space="0"/>
              <w:right w:val="single" w:color="auto" w:sz="4" w:space="0"/>
            </w:tcBorders>
            <w:vAlign w:val="center"/>
          </w:tcPr>
          <w:p>
            <w:pPr>
              <w:kinsoku/>
              <w:overflowPunct/>
              <w:topLinePunct w:val="0"/>
              <w:bidi w:val="0"/>
              <w:outlineLvl w:val="9"/>
              <w:rPr>
                <w:rFonts w:hAnsi="宋体"/>
                <w:color w:val="auto"/>
                <w:sz w:val="21"/>
                <w:szCs w:val="21"/>
              </w:rPr>
            </w:pPr>
          </w:p>
        </w:tc>
        <w:tc>
          <w:tcPr>
            <w:tcW w:w="1589" w:type="dxa"/>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p>
        </w:tc>
        <w:tc>
          <w:tcPr>
            <w:tcW w:w="993" w:type="dxa"/>
            <w:tcBorders>
              <w:left w:val="single" w:color="auto" w:sz="4" w:space="0"/>
            </w:tcBorders>
            <w:vAlign w:val="center"/>
          </w:tcPr>
          <w:p>
            <w:pPr>
              <w:kinsoku/>
              <w:overflowPunct/>
              <w:topLinePunct w:val="0"/>
              <w:bidi w:val="0"/>
              <w:jc w:val="center"/>
              <w:outlineLvl w:val="9"/>
              <w:rPr>
                <w:rFonts w:hAnsi="宋体"/>
                <w:color w:val="auto"/>
                <w:sz w:val="21"/>
                <w:szCs w:val="21"/>
              </w:rPr>
            </w:pPr>
          </w:p>
        </w:tc>
        <w:tc>
          <w:tcPr>
            <w:tcW w:w="3094" w:type="dxa"/>
            <w:vAlign w:val="center"/>
          </w:tcPr>
          <w:p>
            <w:pPr>
              <w:kinsoku/>
              <w:overflowPunct/>
              <w:topLinePunct w:val="0"/>
              <w:bidi w:val="0"/>
              <w:jc w:val="center"/>
              <w:outlineLvl w:val="9"/>
              <w:rPr>
                <w:rFonts w:hAnsi="宋体"/>
                <w:color w:val="auto"/>
                <w:sz w:val="21"/>
                <w:szCs w:val="21"/>
              </w:rPr>
            </w:pPr>
          </w:p>
        </w:tc>
        <w:tc>
          <w:tcPr>
            <w:tcW w:w="796" w:type="dxa"/>
            <w:vAlign w:val="center"/>
          </w:tcPr>
          <w:p>
            <w:pPr>
              <w:kinsoku/>
              <w:overflowPunct/>
              <w:topLinePunct w:val="0"/>
              <w:bidi w:val="0"/>
              <w:jc w:val="center"/>
              <w:outlineLvl w:val="9"/>
              <w:rPr>
                <w:rFonts w:hAnsi="宋体"/>
                <w:color w:val="auto"/>
                <w:sz w:val="21"/>
                <w:szCs w:val="21"/>
              </w:rPr>
            </w:pPr>
          </w:p>
        </w:tc>
        <w:tc>
          <w:tcPr>
            <w:tcW w:w="796"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c>
          <w:tcPr>
            <w:tcW w:w="1789"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223" w:type="dxa"/>
            <w:vMerge w:val="continue"/>
            <w:tcBorders>
              <w:left w:val="single" w:color="auto" w:sz="4" w:space="0"/>
              <w:right w:val="single" w:color="auto" w:sz="4" w:space="0"/>
            </w:tcBorders>
            <w:vAlign w:val="center"/>
          </w:tcPr>
          <w:p>
            <w:pPr>
              <w:kinsoku/>
              <w:overflowPunct/>
              <w:topLinePunct w:val="0"/>
              <w:bidi w:val="0"/>
              <w:outlineLvl w:val="9"/>
              <w:rPr>
                <w:rFonts w:hAnsi="宋体"/>
                <w:color w:val="auto"/>
                <w:sz w:val="21"/>
                <w:szCs w:val="21"/>
              </w:rPr>
            </w:pPr>
          </w:p>
        </w:tc>
        <w:tc>
          <w:tcPr>
            <w:tcW w:w="1589" w:type="dxa"/>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p>
        </w:tc>
        <w:tc>
          <w:tcPr>
            <w:tcW w:w="993" w:type="dxa"/>
            <w:tcBorders>
              <w:left w:val="single" w:color="auto" w:sz="4" w:space="0"/>
            </w:tcBorders>
            <w:vAlign w:val="center"/>
          </w:tcPr>
          <w:p>
            <w:pPr>
              <w:kinsoku/>
              <w:overflowPunct/>
              <w:topLinePunct w:val="0"/>
              <w:bidi w:val="0"/>
              <w:jc w:val="center"/>
              <w:outlineLvl w:val="9"/>
              <w:rPr>
                <w:rFonts w:hAnsi="宋体"/>
                <w:color w:val="auto"/>
                <w:sz w:val="21"/>
                <w:szCs w:val="21"/>
              </w:rPr>
            </w:pPr>
          </w:p>
        </w:tc>
        <w:tc>
          <w:tcPr>
            <w:tcW w:w="3094" w:type="dxa"/>
            <w:vAlign w:val="center"/>
          </w:tcPr>
          <w:p>
            <w:pPr>
              <w:kinsoku/>
              <w:overflowPunct/>
              <w:topLinePunct w:val="0"/>
              <w:bidi w:val="0"/>
              <w:jc w:val="center"/>
              <w:outlineLvl w:val="9"/>
              <w:rPr>
                <w:rFonts w:hAnsi="宋体"/>
                <w:color w:val="auto"/>
                <w:sz w:val="21"/>
                <w:szCs w:val="21"/>
              </w:rPr>
            </w:pPr>
          </w:p>
        </w:tc>
        <w:tc>
          <w:tcPr>
            <w:tcW w:w="796" w:type="dxa"/>
            <w:vAlign w:val="center"/>
          </w:tcPr>
          <w:p>
            <w:pPr>
              <w:kinsoku/>
              <w:overflowPunct/>
              <w:topLinePunct w:val="0"/>
              <w:bidi w:val="0"/>
              <w:jc w:val="center"/>
              <w:outlineLvl w:val="9"/>
              <w:rPr>
                <w:rFonts w:hAnsi="宋体"/>
                <w:color w:val="auto"/>
                <w:sz w:val="21"/>
                <w:szCs w:val="21"/>
              </w:rPr>
            </w:pPr>
          </w:p>
        </w:tc>
        <w:tc>
          <w:tcPr>
            <w:tcW w:w="796"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c>
          <w:tcPr>
            <w:tcW w:w="1789"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223" w:type="dxa"/>
            <w:vMerge w:val="continue"/>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p>
        </w:tc>
        <w:tc>
          <w:tcPr>
            <w:tcW w:w="1589" w:type="dxa"/>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p>
        </w:tc>
        <w:tc>
          <w:tcPr>
            <w:tcW w:w="993" w:type="dxa"/>
            <w:tcBorders>
              <w:left w:val="single" w:color="auto" w:sz="4" w:space="0"/>
            </w:tcBorders>
            <w:vAlign w:val="center"/>
          </w:tcPr>
          <w:p>
            <w:pPr>
              <w:kinsoku/>
              <w:overflowPunct/>
              <w:topLinePunct w:val="0"/>
              <w:bidi w:val="0"/>
              <w:jc w:val="center"/>
              <w:outlineLvl w:val="9"/>
              <w:rPr>
                <w:rFonts w:hAnsi="宋体"/>
                <w:color w:val="auto"/>
                <w:sz w:val="21"/>
                <w:szCs w:val="21"/>
              </w:rPr>
            </w:pPr>
          </w:p>
        </w:tc>
        <w:tc>
          <w:tcPr>
            <w:tcW w:w="3094" w:type="dxa"/>
            <w:vAlign w:val="center"/>
          </w:tcPr>
          <w:p>
            <w:pPr>
              <w:kinsoku/>
              <w:overflowPunct/>
              <w:topLinePunct w:val="0"/>
              <w:bidi w:val="0"/>
              <w:jc w:val="center"/>
              <w:outlineLvl w:val="9"/>
              <w:rPr>
                <w:rFonts w:hAnsi="宋体"/>
                <w:color w:val="auto"/>
                <w:sz w:val="21"/>
                <w:szCs w:val="21"/>
              </w:rPr>
            </w:pPr>
          </w:p>
        </w:tc>
        <w:tc>
          <w:tcPr>
            <w:tcW w:w="796" w:type="dxa"/>
            <w:vAlign w:val="center"/>
          </w:tcPr>
          <w:p>
            <w:pPr>
              <w:kinsoku/>
              <w:overflowPunct/>
              <w:topLinePunct w:val="0"/>
              <w:bidi w:val="0"/>
              <w:jc w:val="center"/>
              <w:outlineLvl w:val="9"/>
              <w:rPr>
                <w:rFonts w:hAnsi="宋体"/>
                <w:color w:val="auto"/>
                <w:sz w:val="21"/>
                <w:szCs w:val="21"/>
              </w:rPr>
            </w:pPr>
          </w:p>
        </w:tc>
        <w:tc>
          <w:tcPr>
            <w:tcW w:w="796"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c>
          <w:tcPr>
            <w:tcW w:w="1789"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223" w:type="dxa"/>
            <w:vMerge w:val="continue"/>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p>
        </w:tc>
        <w:tc>
          <w:tcPr>
            <w:tcW w:w="1589" w:type="dxa"/>
            <w:tcBorders>
              <w:left w:val="single" w:color="auto" w:sz="4" w:space="0"/>
              <w:right w:val="single" w:color="auto" w:sz="4" w:space="0"/>
            </w:tcBorders>
            <w:vAlign w:val="center"/>
          </w:tcPr>
          <w:p>
            <w:pPr>
              <w:kinsoku/>
              <w:overflowPunct/>
              <w:topLinePunct w:val="0"/>
              <w:bidi w:val="0"/>
              <w:jc w:val="center"/>
              <w:outlineLvl w:val="9"/>
              <w:rPr>
                <w:rFonts w:hAnsi="宋体"/>
                <w:color w:val="auto"/>
                <w:sz w:val="21"/>
                <w:szCs w:val="21"/>
              </w:rPr>
            </w:pPr>
            <w:r>
              <w:rPr>
                <w:rFonts w:hint="eastAsia" w:hAnsi="宋体"/>
                <w:color w:val="auto"/>
                <w:sz w:val="21"/>
                <w:szCs w:val="21"/>
              </w:rPr>
              <w:t>…</w:t>
            </w:r>
          </w:p>
        </w:tc>
        <w:tc>
          <w:tcPr>
            <w:tcW w:w="993" w:type="dxa"/>
            <w:tcBorders>
              <w:left w:val="single" w:color="auto" w:sz="4" w:space="0"/>
            </w:tcBorders>
            <w:vAlign w:val="center"/>
          </w:tcPr>
          <w:p>
            <w:pPr>
              <w:kinsoku/>
              <w:overflowPunct/>
              <w:topLinePunct w:val="0"/>
              <w:bidi w:val="0"/>
              <w:jc w:val="center"/>
              <w:outlineLvl w:val="9"/>
              <w:rPr>
                <w:rFonts w:hAnsi="宋体"/>
                <w:color w:val="auto"/>
                <w:sz w:val="21"/>
                <w:szCs w:val="21"/>
              </w:rPr>
            </w:pPr>
          </w:p>
        </w:tc>
        <w:tc>
          <w:tcPr>
            <w:tcW w:w="3094" w:type="dxa"/>
            <w:vAlign w:val="center"/>
          </w:tcPr>
          <w:p>
            <w:pPr>
              <w:kinsoku/>
              <w:overflowPunct/>
              <w:topLinePunct w:val="0"/>
              <w:bidi w:val="0"/>
              <w:jc w:val="center"/>
              <w:outlineLvl w:val="9"/>
              <w:rPr>
                <w:rFonts w:hAnsi="宋体"/>
                <w:color w:val="auto"/>
                <w:sz w:val="21"/>
                <w:szCs w:val="21"/>
              </w:rPr>
            </w:pPr>
          </w:p>
        </w:tc>
        <w:tc>
          <w:tcPr>
            <w:tcW w:w="796" w:type="dxa"/>
            <w:vAlign w:val="center"/>
          </w:tcPr>
          <w:p>
            <w:pPr>
              <w:kinsoku/>
              <w:overflowPunct/>
              <w:topLinePunct w:val="0"/>
              <w:bidi w:val="0"/>
              <w:jc w:val="center"/>
              <w:outlineLvl w:val="9"/>
              <w:rPr>
                <w:rFonts w:hAnsi="宋体"/>
                <w:color w:val="auto"/>
                <w:sz w:val="21"/>
                <w:szCs w:val="21"/>
              </w:rPr>
            </w:pPr>
          </w:p>
        </w:tc>
        <w:tc>
          <w:tcPr>
            <w:tcW w:w="796"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c>
          <w:tcPr>
            <w:tcW w:w="1789" w:type="dxa"/>
            <w:tcBorders>
              <w:right w:val="single" w:color="auto" w:sz="4" w:space="0"/>
            </w:tcBorders>
            <w:vAlign w:val="center"/>
          </w:tcPr>
          <w:p>
            <w:pPr>
              <w:kinsoku/>
              <w:overflowPunct/>
              <w:topLinePunct w:val="0"/>
              <w:bidi w:val="0"/>
              <w:jc w:val="center"/>
              <w:outlineLvl w:val="9"/>
              <w:rPr>
                <w:rFonts w:hAnsi="宋体"/>
                <w:color w:val="auto"/>
                <w:sz w:val="21"/>
                <w:szCs w:val="21"/>
              </w:rPr>
            </w:pPr>
          </w:p>
        </w:tc>
      </w:tr>
    </w:tbl>
    <w:p>
      <w:pPr>
        <w:pStyle w:val="57"/>
        <w:kinsoku/>
        <w:overflowPunct/>
        <w:topLinePunct w:val="0"/>
        <w:bidi w:val="0"/>
        <w:outlineLvl w:val="9"/>
        <w:rPr>
          <w:rFonts w:ascii="宋体" w:hAnsi="宋体"/>
          <w:bCs w:val="0"/>
          <w:color w:val="auto"/>
          <w:spacing w:val="0"/>
          <w:sz w:val="21"/>
          <w:szCs w:val="21"/>
        </w:rPr>
      </w:pPr>
    </w:p>
    <w:p>
      <w:pPr>
        <w:kinsoku/>
        <w:overflowPunct/>
        <w:topLinePunct w:val="0"/>
        <w:bidi w:val="0"/>
        <w:snapToGrid w:val="0"/>
        <w:spacing w:line="360" w:lineRule="auto"/>
        <w:outlineLvl w:val="9"/>
        <w:rPr>
          <w:rFonts w:hAnsi="宋体"/>
          <w:color w:val="auto"/>
          <w:sz w:val="21"/>
          <w:szCs w:val="21"/>
        </w:rPr>
      </w:pPr>
    </w:p>
    <w:p>
      <w:pPr>
        <w:pStyle w:val="15"/>
        <w:kinsoku/>
        <w:overflowPunct/>
        <w:topLinePunct w:val="0"/>
        <w:bidi w:val="0"/>
        <w:outlineLvl w:val="9"/>
        <w:rPr>
          <w:color w:val="auto"/>
        </w:rPr>
      </w:pPr>
    </w:p>
    <w:p>
      <w:pPr>
        <w:kinsoku/>
        <w:overflowPunct/>
        <w:topLinePunct w:val="0"/>
        <w:bidi w:val="0"/>
        <w:outlineLvl w:val="9"/>
        <w:rPr>
          <w:color w:val="auto"/>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360" w:lineRule="auto"/>
        <w:outlineLvl w:val="9"/>
        <w:rPr>
          <w:rFonts w:hAnsi="宋体"/>
          <w:color w:val="auto"/>
          <w:sz w:val="21"/>
          <w:szCs w:val="21"/>
        </w:rPr>
      </w:pPr>
    </w:p>
    <w:p>
      <w:pPr>
        <w:pageBreakBefore/>
        <w:kinsoku/>
        <w:overflowPunct/>
        <w:topLinePunct w:val="0"/>
        <w:bidi w:val="0"/>
        <w:spacing w:after="120" w:line="480" w:lineRule="exact"/>
        <w:outlineLvl w:val="9"/>
        <w:rPr>
          <w:rFonts w:hAnsi="宋体"/>
          <w:b/>
          <w:bCs/>
          <w:color w:val="auto"/>
          <w:sz w:val="21"/>
          <w:szCs w:val="20"/>
        </w:rPr>
      </w:pPr>
      <w:r>
        <w:rPr>
          <w:rFonts w:hint="eastAsia" w:hAnsi="宋体"/>
          <w:b/>
          <w:bCs/>
          <w:color w:val="auto"/>
          <w:sz w:val="21"/>
          <w:szCs w:val="20"/>
        </w:rPr>
        <w:t>附表2.8 实质性响应</w:t>
      </w:r>
      <w:r>
        <w:rPr>
          <w:rFonts w:hint="eastAsia" w:hAnsi="宋体"/>
          <w:b/>
          <w:bCs/>
          <w:color w:val="auto"/>
          <w:sz w:val="21"/>
          <w:szCs w:val="20"/>
          <w:lang w:eastAsia="zh-CN"/>
        </w:rPr>
        <w:t>采购需求</w:t>
      </w:r>
      <w:r>
        <w:rPr>
          <w:rFonts w:hint="eastAsia" w:hAnsi="宋体"/>
          <w:b/>
          <w:bCs/>
          <w:color w:val="auto"/>
          <w:sz w:val="21"/>
          <w:szCs w:val="20"/>
        </w:rPr>
        <w:t>条款响应表格式</w:t>
      </w:r>
    </w:p>
    <w:p>
      <w:pPr>
        <w:pStyle w:val="57"/>
        <w:kinsoku/>
        <w:overflowPunct/>
        <w:topLinePunct w:val="0"/>
        <w:bidi w:val="0"/>
        <w:outlineLvl w:val="9"/>
        <w:rPr>
          <w:rFonts w:hAnsi="宋体"/>
          <w:color w:val="auto"/>
          <w:sz w:val="21"/>
        </w:rPr>
      </w:pPr>
    </w:p>
    <w:p>
      <w:pPr>
        <w:pStyle w:val="57"/>
        <w:kinsoku/>
        <w:overflowPunct/>
        <w:topLinePunct w:val="0"/>
        <w:bidi w:val="0"/>
        <w:jc w:val="center"/>
        <w:outlineLvl w:val="9"/>
        <w:rPr>
          <w:rFonts w:hAnsi="宋体"/>
          <w:color w:val="auto"/>
          <w:sz w:val="28"/>
          <w:szCs w:val="28"/>
        </w:rPr>
      </w:pPr>
      <w:r>
        <w:rPr>
          <w:rFonts w:hint="eastAsia" w:hAnsi="宋体"/>
          <w:color w:val="auto"/>
          <w:sz w:val="28"/>
          <w:szCs w:val="28"/>
        </w:rPr>
        <w:t>实质性响应条款响应表</w:t>
      </w:r>
    </w:p>
    <w:tbl>
      <w:tblPr>
        <w:tblStyle w:val="21"/>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09"/>
        <w:gridCol w:w="816"/>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09" w:type="dxa"/>
            <w:shd w:val="clear" w:color="auto" w:fill="F3F3F3"/>
            <w:vAlign w:val="center"/>
          </w:tcPr>
          <w:p>
            <w:pPr>
              <w:kinsoku/>
              <w:overflowPunct/>
              <w:topLinePunct w:val="0"/>
              <w:bidi w:val="0"/>
              <w:jc w:val="center"/>
              <w:outlineLvl w:val="9"/>
              <w:rPr>
                <w:rFonts w:hAnsi="宋体"/>
                <w:bCs/>
                <w:color w:val="auto"/>
                <w:sz w:val="21"/>
                <w:szCs w:val="21"/>
              </w:rPr>
            </w:pPr>
            <w:r>
              <w:rPr>
                <w:rFonts w:hint="eastAsia" w:hAnsi="宋体"/>
                <w:bCs/>
                <w:color w:val="auto"/>
                <w:sz w:val="21"/>
                <w:szCs w:val="21"/>
              </w:rPr>
              <w:t>序号</w:t>
            </w:r>
          </w:p>
        </w:tc>
        <w:tc>
          <w:tcPr>
            <w:tcW w:w="5809" w:type="dxa"/>
            <w:shd w:val="clear" w:color="auto" w:fill="F3F3F3"/>
            <w:vAlign w:val="center"/>
          </w:tcPr>
          <w:p>
            <w:pPr>
              <w:kinsoku/>
              <w:overflowPunct/>
              <w:topLinePunct w:val="0"/>
              <w:bidi w:val="0"/>
              <w:jc w:val="center"/>
              <w:outlineLvl w:val="9"/>
              <w:rPr>
                <w:rFonts w:hAnsi="宋体"/>
                <w:bCs/>
                <w:color w:val="auto"/>
                <w:sz w:val="21"/>
                <w:szCs w:val="21"/>
              </w:rPr>
            </w:pPr>
            <w:r>
              <w:rPr>
                <w:rFonts w:hint="eastAsia" w:hAnsi="宋体"/>
                <w:bCs/>
                <w:color w:val="auto"/>
                <w:sz w:val="21"/>
                <w:szCs w:val="21"/>
              </w:rPr>
              <w:t>实质性响应</w:t>
            </w:r>
            <w:r>
              <w:rPr>
                <w:rFonts w:hint="eastAsia" w:hAnsi="宋体"/>
                <w:bCs/>
                <w:color w:val="auto"/>
                <w:sz w:val="21"/>
                <w:szCs w:val="21"/>
                <w:lang w:eastAsia="zh-CN"/>
              </w:rPr>
              <w:t>采购需求</w:t>
            </w:r>
            <w:r>
              <w:rPr>
                <w:rFonts w:hint="eastAsia" w:hAnsi="宋体"/>
                <w:bCs/>
                <w:color w:val="auto"/>
                <w:sz w:val="21"/>
                <w:szCs w:val="21"/>
              </w:rPr>
              <w:t>条款要求</w:t>
            </w:r>
          </w:p>
        </w:tc>
        <w:tc>
          <w:tcPr>
            <w:tcW w:w="816" w:type="dxa"/>
            <w:shd w:val="clear" w:color="auto" w:fill="F3F3F3"/>
            <w:vAlign w:val="center"/>
          </w:tcPr>
          <w:p>
            <w:pPr>
              <w:kinsoku/>
              <w:overflowPunct/>
              <w:topLinePunct w:val="0"/>
              <w:bidi w:val="0"/>
              <w:jc w:val="center"/>
              <w:outlineLvl w:val="9"/>
              <w:rPr>
                <w:rFonts w:hAnsi="宋体"/>
                <w:bCs/>
                <w:color w:val="auto"/>
                <w:sz w:val="21"/>
                <w:szCs w:val="21"/>
              </w:rPr>
            </w:pPr>
            <w:r>
              <w:rPr>
                <w:rFonts w:hint="eastAsia" w:hAnsi="宋体"/>
                <w:bCs/>
                <w:color w:val="auto"/>
                <w:sz w:val="21"/>
                <w:szCs w:val="21"/>
              </w:rPr>
              <w:t>是否响应</w:t>
            </w:r>
          </w:p>
        </w:tc>
        <w:tc>
          <w:tcPr>
            <w:tcW w:w="2171" w:type="dxa"/>
            <w:shd w:val="clear" w:color="auto" w:fill="F3F3F3"/>
            <w:vAlign w:val="center"/>
          </w:tcPr>
          <w:p>
            <w:pPr>
              <w:kinsoku/>
              <w:overflowPunct/>
              <w:topLinePunct w:val="0"/>
              <w:bidi w:val="0"/>
              <w:jc w:val="center"/>
              <w:outlineLvl w:val="9"/>
              <w:rPr>
                <w:rFonts w:hAnsi="宋体"/>
                <w:bCs/>
                <w:color w:val="auto"/>
                <w:sz w:val="21"/>
                <w:szCs w:val="21"/>
              </w:rPr>
            </w:pPr>
            <w:r>
              <w:rPr>
                <w:rFonts w:hint="eastAsia" w:hAnsi="宋体"/>
                <w:bCs/>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color w:val="auto"/>
              </w:rPr>
            </w:pPr>
            <w:r>
              <w:rPr>
                <w:rFonts w:hint="eastAsia" w:hAnsi="宋体" w:cs="宋体"/>
                <w:color w:val="auto"/>
                <w:sz w:val="21"/>
                <w:szCs w:val="21"/>
                <w:lang w:val="en-US" w:eastAsia="zh-CN"/>
              </w:rPr>
              <w:t>一、</w:t>
            </w:r>
            <w:r>
              <w:rPr>
                <w:rFonts w:hint="eastAsia" w:ascii="宋体" w:hAnsi="宋体" w:eastAsia="宋体" w:cs="宋体"/>
                <w:color w:val="auto"/>
                <w:sz w:val="21"/>
                <w:szCs w:val="21"/>
                <w:lang w:val="en-US" w:eastAsia="zh-CN"/>
              </w:rPr>
              <w:t>采购项目内容：采购项目内容；供货期：3年：预算金额：人民币30万元</w:t>
            </w:r>
          </w:p>
        </w:tc>
        <w:tc>
          <w:tcPr>
            <w:tcW w:w="816"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二、供应需求</w:t>
            </w:r>
            <w:r>
              <w:rPr>
                <w:rFonts w:hint="eastAsia" w:hAnsi="宋体" w:cs="宋体"/>
                <w:color w:val="auto"/>
                <w:sz w:val="21"/>
                <w:szCs w:val="21"/>
                <w:lang w:val="en-US" w:eastAsia="zh-CN"/>
              </w:rPr>
              <w:t>1</w:t>
            </w:r>
            <w:r>
              <w:rPr>
                <w:rFonts w:hint="eastAsia" w:ascii="宋体" w:hAnsi="宋体" w:eastAsia="宋体" w:cs="宋体"/>
                <w:color w:val="auto"/>
                <w:sz w:val="21"/>
                <w:szCs w:val="21"/>
                <w:lang w:val="en-US" w:eastAsia="zh-CN"/>
              </w:rPr>
              <w:t>：洗涤范围：全院医护人员工作服、病人被服、手术布类等医用织物的体液、药渍及其他污渍。</w:t>
            </w:r>
          </w:p>
        </w:tc>
        <w:tc>
          <w:tcPr>
            <w:tcW w:w="816"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1"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二、供应需求</w:t>
            </w:r>
            <w:r>
              <w:rPr>
                <w:rFonts w:hint="eastAsia" w:hAnsi="宋体" w:cs="宋体"/>
                <w:color w:val="auto"/>
                <w:sz w:val="21"/>
                <w:szCs w:val="21"/>
                <w:lang w:val="en-US" w:eastAsia="zh-CN"/>
              </w:rPr>
              <w:t>2</w:t>
            </w:r>
            <w:r>
              <w:rPr>
                <w:rFonts w:hint="eastAsia" w:ascii="宋体" w:hAnsi="宋体" w:eastAsia="宋体" w:cs="宋体"/>
                <w:color w:val="auto"/>
                <w:sz w:val="21"/>
                <w:szCs w:val="21"/>
                <w:lang w:val="en-US" w:eastAsia="zh-CN"/>
              </w:rPr>
              <w:t>：采购清单：按照医院使用需求及时供应，下单后保证24小时内送货上门。（平均每月预计需求量：漂白消毒剂40桶，洗衣液25桶，衣领净2瓶；每年需求中和剂4桶，去油剂1桶），具体见谈判文件表格，注：1.合同期内单价不得调整，货物单价包括但不限于货物费用、运输费、人员经费、保险费、各项税费及合同实施过程中不可预见费用等项目相关的一切费用。</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2.如投标每桶规格与采购清单不一致，可以按上述规格报价，送货时按量折算。如：“洗衣液”投标规格为20KG/桶，投标按25KG/桶报价，送货按重量折算。</w:t>
            </w:r>
          </w:p>
        </w:tc>
        <w:tc>
          <w:tcPr>
            <w:tcW w:w="816" w:type="dxa"/>
            <w:vAlign w:val="center"/>
          </w:tcPr>
          <w:p>
            <w:pPr>
              <w:kinsoku/>
              <w:overflowPunct/>
              <w:topLinePunct w:val="0"/>
              <w:bidi w:val="0"/>
              <w:outlineLvl w:val="9"/>
              <w:rPr>
                <w:rFonts w:hint="eastAsia" w:ascii="宋体" w:hAnsi="宋体" w:eastAsia="宋体" w:cs="宋体"/>
                <w:color w:val="auto"/>
                <w:sz w:val="21"/>
                <w:szCs w:val="21"/>
                <w:lang w:val="en-US" w:eastAsia="zh-CN"/>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0"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货物参数：具体见谈判文件表格。说明：1.必须提供所投产品的有效检测合格报告。2.必须提供所投产品完整外观图片（包含正反面）。3.必须提供近三年内（自本项目招标公告发布之日起往前顺推）（以合同签订时间为准（提供发票的以发票日期为准））至投标截止前投标人独立承担所投产品</w:t>
            </w:r>
            <w:r>
              <w:rPr>
                <w:rFonts w:hint="eastAsia" w:ascii="宋体" w:hAnsi="宋体" w:eastAsia="宋体" w:cs="宋体"/>
                <w:color w:val="auto"/>
                <w:sz w:val="21"/>
                <w:szCs w:val="21"/>
                <w:lang w:val="en-GB" w:eastAsia="zh-CN"/>
              </w:rPr>
              <w:t>项目业绩（</w:t>
            </w:r>
            <w:r>
              <w:rPr>
                <w:rFonts w:hint="eastAsia" w:ascii="宋体" w:hAnsi="宋体" w:eastAsia="宋体" w:cs="宋体"/>
                <w:color w:val="auto"/>
                <w:sz w:val="21"/>
                <w:szCs w:val="21"/>
                <w:lang w:val="en-US" w:eastAsia="zh-CN"/>
              </w:rPr>
              <w:t>提供合同或销售发票复印件</w:t>
            </w:r>
            <w:r>
              <w:rPr>
                <w:rFonts w:hint="eastAsia" w:ascii="宋体" w:hAnsi="宋体" w:eastAsia="宋体" w:cs="宋体"/>
                <w:color w:val="auto"/>
                <w:sz w:val="21"/>
                <w:szCs w:val="21"/>
                <w:lang w:val="en-GB" w:eastAsia="zh-CN"/>
              </w:rPr>
              <w:t>）。</w:t>
            </w:r>
            <w:r>
              <w:rPr>
                <w:rFonts w:hint="eastAsia" w:ascii="宋体" w:hAnsi="宋体" w:eastAsia="宋体" w:cs="宋体"/>
                <w:color w:val="auto"/>
                <w:sz w:val="21"/>
                <w:szCs w:val="21"/>
                <w:lang w:val="en-US" w:eastAsia="zh-CN"/>
              </w:rPr>
              <w:t>4.供应商须对采购需求全部内容进行无偏离或正偏离响应，否则为不响应或无效响应。</w:t>
            </w:r>
          </w:p>
        </w:tc>
        <w:tc>
          <w:tcPr>
            <w:tcW w:w="816" w:type="dxa"/>
            <w:vAlign w:val="center"/>
          </w:tcPr>
          <w:p>
            <w:pPr>
              <w:kinsoku/>
              <w:overflowPunct/>
              <w:topLinePunct w:val="0"/>
              <w:bidi w:val="0"/>
              <w:outlineLvl w:val="9"/>
              <w:rPr>
                <w:rFonts w:hint="eastAsia" w:ascii="宋体" w:hAnsi="宋体" w:eastAsia="宋体" w:cs="宋体"/>
                <w:color w:val="auto"/>
                <w:sz w:val="21"/>
                <w:szCs w:val="21"/>
                <w:lang w:val="en-US" w:eastAsia="zh-CN"/>
              </w:rPr>
            </w:pPr>
          </w:p>
        </w:tc>
        <w:tc>
          <w:tcPr>
            <w:tcW w:w="2171"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四、服务需求:1.成交供应商所供产品必须符合中华人民共和国国家标准及行业标准，质量标准必须按国家现行规范执行；</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四、服务需求:2.洗涤效果要达到院感管理制度要求，有消毒功效，防止医源性感染，能够有效去除各种污渍，不留痕迹。不添加荧光增白剂，不含致敏成分，无刺鼻气味；</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四、服务需求:3.成交供应商提供所需消毒洗涤用品的供应、运输、售后和培训等相关服务。提供原装且符合用户质量需求的货物，保证完好、无破损、配置与送货单相符；</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四、服务需求:4.成交供应商免费提供特殊污渍洗涤项目，并保证三个工作日内完成洗涤和收送服务；</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四、服务需求:5.成交供应商每季度一次将医院织物送至有资质的检测机构进行微生物检测，费用由供应商负责；</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四、服务需求:6.成交供应商向采购人提供两台或以上洗涤剂分配器，可匹配采购的洗涤剂使用，并做好安装、维护和售后服务。</w:t>
            </w: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五、包装标准、包装物的供应与回收:1.货物所需包装由成交供应商负责，适合运输、防潮、防湿、防震、防腐蚀等要求，因包装不当，给采购人或其他第三方造成的损失与责任均为成交供应商承担。</w:t>
            </w:r>
          </w:p>
          <w:p>
            <w:pPr>
              <w:kinsoku/>
              <w:overflowPunct/>
              <w:topLinePunct w:val="0"/>
              <w:bidi w:val="0"/>
              <w:outlineLvl w:val="9"/>
              <w:rPr>
                <w:rFonts w:hint="default"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五、包装标准、包装物的供应与回收:2.成交供应商提供本合同货物的包装物。包装物可由成交供应商收回，成交供应商不得向采购人收取包装物的任何费用，包括租赁费用、押金等。</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六、交货时间、交货地点:1.交货时间：成交供应商接采购人通知后，次日正常上班时间内（上午8：30-下午4：00）完成送货。</w:t>
            </w: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六、交货时间、交货地点:2.交货地点：佛山市南海区里水镇里官路得胜段28号南方医科大学第七附属医院洗衣房内</w:t>
            </w: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六、交货时间、交货地点:3.交接方式：双方设置登记本，清楚记录送货数量，回收桶数量，尚欠桶数量等，作为结算统计依据，检测合格报告随货同行。</w:t>
            </w: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六、交货时间、交货地点:4.货物运送至采购人指定交货地点前或不按本条约定时间运送货物致使采购人未能及时收取货物的，在采购人收取货物前的毁损、灭失风险均由成交供应商承担。 </w:t>
            </w: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七、验收:1.验收内容包括货物的质量、规格、数量、重量、外包装是否完好等。</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1"/>
                <w:szCs w:val="21"/>
                <w:lang w:val="en-US" w:eastAsia="zh-CN"/>
              </w:rPr>
              <w:t>七、验收:2.采购人在货物使用过程中出现质量问题后立即以电话联系方式通知成交供应商，并在3个工作日内以书面形式向成交供应商提出异议；双方对怀疑质量存在问题的货物样品送有资质检测机构进行检测，检测结果为货物质量问题，检测费用与造成采购人损失的一切费用由中标人承担。</w:t>
            </w:r>
          </w:p>
          <w:p>
            <w:pPr>
              <w:kinsoku/>
              <w:overflowPunct/>
              <w:topLinePunct w:val="0"/>
              <w:bidi w:val="0"/>
              <w:outlineLvl w:val="9"/>
              <w:rPr>
                <w:rFonts w:hAnsi="宋体"/>
                <w:color w:val="auto"/>
                <w:sz w:val="21"/>
                <w:szCs w:val="21"/>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6"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八、结算方式</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1.月度结算：按实际入库合格数量计算。成交供应商在送货次月5号前提供相关资料申请付款，采购人审核无误后【30】天内通过银行转账方式向成交供应商支付。</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2.申请付款资料：</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2.1有效等额发票</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2.2合同（首次）</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2.3送货单</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2.4中标通知书（首次）</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2.5检测合格报告书</w:t>
            </w: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0"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九、违约责任</w:t>
            </w:r>
          </w:p>
          <w:p>
            <w:pPr>
              <w:kinsoku/>
              <w:overflowPunct/>
              <w:topLinePunct w:val="0"/>
              <w:bidi w:val="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1.成交供应商未能按照合同约定时间交货到指定地点的，成交供应商向采购人赔偿人民币【5000元】违约金，累计违约3次成交供应商向采购人赔偿人民币【10000元】违约金，采购人有权单方面解除合同。</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成交供应商交付货物质量未达到约定的标准或无法提供出厂质量检测合格报告或经检测机构检测货物存在质量问题的，成交供应商向采购人赔偿人民币【5000元】违约金，累计违约3次成交供应商向采购人赔偿人民币【10000元】违约金，采购人有权单方面解除合同。</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3.采购人无正当理由拒绝付款或未按合同约定时间支付结算款项的，采购人按应付未付结算款项的10%向成交供应商支付违约金。</w:t>
            </w: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exact"/>
        </w:trPr>
        <w:tc>
          <w:tcPr>
            <w:tcW w:w="709" w:type="dxa"/>
            <w:vAlign w:val="center"/>
          </w:tcPr>
          <w:p>
            <w:pPr>
              <w:numPr>
                <w:ilvl w:val="1"/>
                <w:numId w:val="4"/>
              </w:numPr>
              <w:kinsoku/>
              <w:overflowPunct/>
              <w:topLinePunct w:val="0"/>
              <w:bidi w:val="0"/>
              <w:adjustRightInd/>
              <w:jc w:val="center"/>
              <w:outlineLvl w:val="9"/>
              <w:rPr>
                <w:rFonts w:hAnsi="宋体"/>
                <w:color w:val="auto"/>
                <w:sz w:val="21"/>
                <w:szCs w:val="21"/>
              </w:rPr>
            </w:pPr>
          </w:p>
        </w:tc>
        <w:tc>
          <w:tcPr>
            <w:tcW w:w="5809" w:type="dxa"/>
            <w:vAlign w:val="center"/>
          </w:tcPr>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十、安全与环境保护</w:t>
            </w:r>
          </w:p>
          <w:p>
            <w:pPr>
              <w:kinsoku/>
              <w:overflowPunct/>
              <w:topLinePunct w:val="0"/>
              <w:bidi w:val="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乙双方须确保在购销、运输、存储、加工、使用等过程中，遵守质量、安全、环境与健康等法律法规的有关要求，并承担质量、安全、环境与健康责任。成交供应商销售、运输等过程中，应满足化学品运输管理规定。</w:t>
            </w:r>
          </w:p>
          <w:p>
            <w:pPr>
              <w:rPr>
                <w:rFonts w:hint="eastAsia"/>
                <w:color w:val="auto"/>
                <w:lang w:val="en-US" w:eastAsia="zh-CN"/>
              </w:rPr>
            </w:pPr>
          </w:p>
          <w:p>
            <w:pPr>
              <w:kinsoku/>
              <w:overflowPunct/>
              <w:topLinePunct w:val="0"/>
              <w:bidi w:val="0"/>
              <w:outlineLvl w:val="9"/>
              <w:rPr>
                <w:rFonts w:hint="eastAsia" w:ascii="宋体" w:hAnsi="宋体" w:eastAsia="宋体" w:cs="宋体"/>
                <w:color w:val="auto"/>
                <w:sz w:val="21"/>
                <w:szCs w:val="21"/>
                <w:lang w:val="en-US" w:eastAsia="zh-CN"/>
              </w:rPr>
            </w:pPr>
          </w:p>
        </w:tc>
        <w:tc>
          <w:tcPr>
            <w:tcW w:w="816" w:type="dxa"/>
            <w:vAlign w:val="center"/>
          </w:tcPr>
          <w:p>
            <w:pPr>
              <w:kinsoku/>
              <w:overflowPunct/>
              <w:topLinePunct w:val="0"/>
              <w:bidi w:val="0"/>
              <w:jc w:val="center"/>
              <w:outlineLvl w:val="9"/>
              <w:rPr>
                <w:rFonts w:hAnsi="宋体"/>
                <w:color w:val="auto"/>
                <w:sz w:val="21"/>
                <w:szCs w:val="21"/>
              </w:rPr>
            </w:pPr>
          </w:p>
        </w:tc>
        <w:tc>
          <w:tcPr>
            <w:tcW w:w="2171" w:type="dxa"/>
            <w:vAlign w:val="center"/>
          </w:tcPr>
          <w:p>
            <w:pPr>
              <w:pStyle w:val="51"/>
              <w:kinsoku/>
              <w:overflowPunct/>
              <w:topLinePunct w:val="0"/>
              <w:bidi w:val="0"/>
              <w:adjustRightInd/>
              <w:spacing w:before="0" w:after="0" w:line="240" w:lineRule="auto"/>
              <w:textAlignment w:val="auto"/>
              <w:outlineLvl w:val="9"/>
              <w:rPr>
                <w:rFonts w:ascii="宋体" w:hAnsi="宋体"/>
                <w:color w:val="auto"/>
                <w:spacing w:val="0"/>
                <w:kern w:val="2"/>
                <w:sz w:val="21"/>
                <w:szCs w:val="21"/>
              </w:rPr>
            </w:pPr>
          </w:p>
        </w:tc>
      </w:tr>
    </w:tbl>
    <w:p>
      <w:pPr>
        <w:kinsoku/>
        <w:overflowPunct/>
        <w:topLinePunct w:val="0"/>
        <w:bidi w:val="0"/>
        <w:ind w:left="780" w:leftChars="150" w:hanging="420" w:hangingChars="200"/>
        <w:outlineLvl w:val="9"/>
        <w:rPr>
          <w:rFonts w:hAnsi="宋体"/>
          <w:color w:val="auto"/>
          <w:sz w:val="21"/>
          <w:szCs w:val="21"/>
        </w:rPr>
      </w:pPr>
    </w:p>
    <w:p>
      <w:pPr>
        <w:kinsoku/>
        <w:overflowPunct/>
        <w:topLinePunct w:val="0"/>
        <w:bidi w:val="0"/>
        <w:spacing w:line="360" w:lineRule="auto"/>
        <w:outlineLvl w:val="9"/>
        <w:rPr>
          <w:rFonts w:hAnsi="宋体"/>
          <w:color w:val="auto"/>
          <w:sz w:val="21"/>
          <w:szCs w:val="21"/>
        </w:rPr>
      </w:pPr>
      <w:r>
        <w:rPr>
          <w:rFonts w:hint="eastAsia" w:hAnsi="宋体"/>
          <w:color w:val="auto"/>
          <w:sz w:val="21"/>
          <w:szCs w:val="21"/>
        </w:rPr>
        <w:t>注：1.对于上述要求，如</w:t>
      </w:r>
      <w:r>
        <w:rPr>
          <w:rFonts w:hint="eastAsia" w:hAnsi="宋体"/>
          <w:color w:val="auto"/>
          <w:sz w:val="21"/>
          <w:szCs w:val="21"/>
          <w:lang w:eastAsia="zh-CN"/>
        </w:rPr>
        <w:t>响应供应商</w:t>
      </w:r>
      <w:r>
        <w:rPr>
          <w:rFonts w:hint="eastAsia" w:hAnsi="宋体"/>
          <w:color w:val="auto"/>
          <w:sz w:val="21"/>
          <w:szCs w:val="21"/>
        </w:rPr>
        <w:t>完全响应，则请在“是否响应”栏内打“√”，对空白或打“×”视为偏离，请在“偏离说明”栏内扼要说明偏离情况。</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2.此表内容必须与招标文件用户需求书中所介绍的内容一致，</w:t>
      </w:r>
      <w:r>
        <w:rPr>
          <w:rFonts w:hint="eastAsia" w:hAnsi="宋体"/>
          <w:color w:val="auto"/>
          <w:sz w:val="21"/>
          <w:szCs w:val="21"/>
          <w:lang w:val="en-US" w:eastAsia="zh-CN"/>
        </w:rPr>
        <w:t>必须全部有效响应用户需求书内容，否则视为不响应</w:t>
      </w:r>
      <w:r>
        <w:rPr>
          <w:rFonts w:hint="eastAsia" w:hAnsi="宋体"/>
          <w:color w:val="auto"/>
          <w:sz w:val="21"/>
          <w:szCs w:val="21"/>
        </w:rPr>
        <w:t>。</w:t>
      </w:r>
    </w:p>
    <w:p>
      <w:pPr>
        <w:kinsoku/>
        <w:overflowPunct/>
        <w:topLinePunct w:val="0"/>
        <w:bidi w:val="0"/>
        <w:spacing w:line="360" w:lineRule="auto"/>
        <w:ind w:firstLine="420" w:firstLineChars="200"/>
        <w:outlineLvl w:val="9"/>
        <w:rPr>
          <w:rFonts w:hAnsi="宋体"/>
          <w:color w:val="auto"/>
          <w:sz w:val="21"/>
          <w:szCs w:val="21"/>
        </w:rPr>
      </w:pPr>
      <w:r>
        <w:rPr>
          <w:rFonts w:hint="eastAsia" w:hAnsi="宋体"/>
          <w:color w:val="auto"/>
          <w:sz w:val="21"/>
          <w:szCs w:val="21"/>
        </w:rPr>
        <w:t>3.本表内容不得擅自修改。</w:t>
      </w:r>
    </w:p>
    <w:p>
      <w:pPr>
        <w:kinsoku/>
        <w:overflowPunct/>
        <w:topLinePunct w:val="0"/>
        <w:bidi w:val="0"/>
        <w:snapToGrid w:val="0"/>
        <w:spacing w:line="360" w:lineRule="auto"/>
        <w:outlineLvl w:val="9"/>
        <w:rPr>
          <w:rFonts w:hAnsi="宋体"/>
          <w:color w:val="auto"/>
          <w:sz w:val="21"/>
          <w:szCs w:val="21"/>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pacing w:line="360" w:lineRule="auto"/>
        <w:outlineLvl w:val="9"/>
        <w:rPr>
          <w:rFonts w:hAnsi="宋体"/>
          <w:color w:val="auto"/>
          <w:kern w:val="2"/>
          <w:sz w:val="21"/>
          <w:szCs w:val="21"/>
        </w:rPr>
      </w:pPr>
    </w:p>
    <w:p>
      <w:pPr>
        <w:pStyle w:val="57"/>
        <w:kinsoku/>
        <w:overflowPunct/>
        <w:topLinePunct w:val="0"/>
        <w:bidi w:val="0"/>
        <w:spacing w:line="440" w:lineRule="exact"/>
        <w:outlineLvl w:val="9"/>
        <w:rPr>
          <w:rFonts w:hAnsi="宋体"/>
          <w:b/>
          <w:color w:val="auto"/>
          <w:sz w:val="21"/>
        </w:rPr>
      </w:pPr>
      <w:r>
        <w:rPr>
          <w:color w:val="auto"/>
          <w:szCs w:val="21"/>
        </w:rPr>
        <w:br w:type="page"/>
      </w:r>
      <w:r>
        <w:rPr>
          <w:rFonts w:hint="eastAsia" w:hAnsi="宋体"/>
          <w:b/>
          <w:color w:val="auto"/>
          <w:sz w:val="21"/>
        </w:rPr>
        <w:t>附表2.9 一般</w:t>
      </w:r>
      <w:r>
        <w:rPr>
          <w:rFonts w:hAnsi="宋体"/>
          <w:b/>
          <w:color w:val="auto"/>
          <w:sz w:val="21"/>
        </w:rPr>
        <w:fldChar w:fldCharType="begin"/>
      </w:r>
      <w:r>
        <w:rPr>
          <w:color w:val="auto"/>
        </w:rPr>
        <w:instrText xml:space="preserve"> DOCVARIABLE  商务条款响应表开始  \* MERGEFORMAT </w:instrText>
      </w:r>
      <w:r>
        <w:rPr>
          <w:color w:val="auto"/>
        </w:rPr>
        <w:fldChar w:fldCharType="end"/>
      </w:r>
      <w:r>
        <w:rPr>
          <w:color w:val="auto"/>
        </w:rPr>
        <w:fldChar w:fldCharType="begin"/>
      </w:r>
      <w:r>
        <w:rPr>
          <w:color w:val="auto"/>
        </w:rPr>
        <w:instrText xml:space="preserve"> DOCVARIABLE  商务条款响应表开始  \* MERGEFORMAT </w:instrText>
      </w:r>
      <w:r>
        <w:rPr>
          <w:color w:val="auto"/>
        </w:rPr>
        <w:fldChar w:fldCharType="end"/>
      </w:r>
      <w:r>
        <w:rPr>
          <w:rFonts w:hint="eastAsia" w:hAnsi="宋体"/>
          <w:b/>
          <w:color w:val="auto"/>
          <w:sz w:val="21"/>
        </w:rPr>
        <w:t>商务条款响应表</w:t>
      </w:r>
    </w:p>
    <w:p>
      <w:pPr>
        <w:pStyle w:val="57"/>
        <w:kinsoku/>
        <w:overflowPunct/>
        <w:topLinePunct w:val="0"/>
        <w:bidi w:val="0"/>
        <w:outlineLvl w:val="9"/>
        <w:rPr>
          <w:rFonts w:hAnsi="宋体"/>
          <w:b/>
          <w:color w:val="auto"/>
          <w:sz w:val="21"/>
        </w:rPr>
      </w:pPr>
    </w:p>
    <w:tbl>
      <w:tblPr>
        <w:tblStyle w:val="21"/>
        <w:tblW w:w="10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6444"/>
        <w:gridCol w:w="83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56" w:type="dxa"/>
            <w:shd w:val="clear" w:color="auto" w:fill="F3F3F3"/>
            <w:vAlign w:val="center"/>
          </w:tcPr>
          <w:p>
            <w:pPr>
              <w:kinsoku/>
              <w:overflowPunct/>
              <w:topLinePunct w:val="0"/>
              <w:bidi w:val="0"/>
              <w:jc w:val="center"/>
              <w:outlineLvl w:val="9"/>
              <w:rPr>
                <w:rFonts w:hAnsi="宋体"/>
                <w:b/>
                <w:bCs/>
                <w:color w:val="auto"/>
                <w:sz w:val="21"/>
                <w:szCs w:val="21"/>
              </w:rPr>
            </w:pPr>
            <w:r>
              <w:rPr>
                <w:rFonts w:hint="eastAsia" w:hAnsi="宋体"/>
                <w:b/>
                <w:bCs/>
                <w:color w:val="auto"/>
                <w:sz w:val="21"/>
                <w:szCs w:val="21"/>
              </w:rPr>
              <w:t>序号</w:t>
            </w:r>
          </w:p>
        </w:tc>
        <w:tc>
          <w:tcPr>
            <w:tcW w:w="6444" w:type="dxa"/>
            <w:shd w:val="clear" w:color="auto" w:fill="F3F3F3"/>
            <w:vAlign w:val="center"/>
          </w:tcPr>
          <w:p>
            <w:pPr>
              <w:kinsoku/>
              <w:overflowPunct/>
              <w:topLinePunct w:val="0"/>
              <w:bidi w:val="0"/>
              <w:jc w:val="center"/>
              <w:outlineLvl w:val="9"/>
              <w:rPr>
                <w:rFonts w:hAnsi="宋体"/>
                <w:b/>
                <w:bCs/>
                <w:color w:val="auto"/>
                <w:sz w:val="21"/>
                <w:szCs w:val="21"/>
              </w:rPr>
            </w:pPr>
            <w:r>
              <w:rPr>
                <w:rFonts w:hint="eastAsia" w:hAnsi="宋体"/>
                <w:b/>
                <w:bCs/>
                <w:color w:val="auto"/>
                <w:sz w:val="21"/>
                <w:szCs w:val="21"/>
              </w:rPr>
              <w:t>一般商务条款要求</w:t>
            </w:r>
          </w:p>
        </w:tc>
        <w:tc>
          <w:tcPr>
            <w:tcW w:w="838" w:type="dxa"/>
            <w:shd w:val="clear" w:color="auto" w:fill="F3F3F3"/>
            <w:vAlign w:val="center"/>
          </w:tcPr>
          <w:p>
            <w:pPr>
              <w:kinsoku/>
              <w:overflowPunct/>
              <w:topLinePunct w:val="0"/>
              <w:bidi w:val="0"/>
              <w:jc w:val="center"/>
              <w:outlineLvl w:val="9"/>
              <w:rPr>
                <w:rFonts w:hAnsi="宋体"/>
                <w:b/>
                <w:bCs/>
                <w:color w:val="auto"/>
                <w:sz w:val="21"/>
                <w:szCs w:val="21"/>
              </w:rPr>
            </w:pPr>
            <w:r>
              <w:rPr>
                <w:rFonts w:hint="eastAsia" w:hAnsi="宋体"/>
                <w:b/>
                <w:bCs/>
                <w:color w:val="auto"/>
                <w:sz w:val="21"/>
                <w:szCs w:val="21"/>
              </w:rPr>
              <w:t>是否响应</w:t>
            </w:r>
          </w:p>
        </w:tc>
        <w:tc>
          <w:tcPr>
            <w:tcW w:w="2230" w:type="dxa"/>
            <w:shd w:val="clear" w:color="auto" w:fill="F3F3F3"/>
            <w:vAlign w:val="center"/>
          </w:tcPr>
          <w:p>
            <w:pPr>
              <w:kinsoku/>
              <w:overflowPunct/>
              <w:topLinePunct w:val="0"/>
              <w:bidi w:val="0"/>
              <w:jc w:val="center"/>
              <w:outlineLvl w:val="9"/>
              <w:rPr>
                <w:rFonts w:hAnsi="宋体"/>
                <w:b/>
                <w:bCs/>
                <w:color w:val="auto"/>
                <w:sz w:val="21"/>
                <w:szCs w:val="21"/>
              </w:rPr>
            </w:pPr>
            <w:r>
              <w:rPr>
                <w:rFonts w:hint="eastAsia" w:hAnsi="宋体"/>
                <w:b/>
                <w:bCs/>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b/>
                <w:color w:val="auto"/>
                <w:sz w:val="21"/>
                <w:szCs w:val="21"/>
              </w:rPr>
            </w:pPr>
            <w:r>
              <w:rPr>
                <w:rFonts w:hint="eastAsia" w:hAnsi="宋体"/>
                <w:bCs/>
                <w:color w:val="auto"/>
                <w:sz w:val="21"/>
                <w:szCs w:val="21"/>
              </w:rPr>
              <w:t>完全理解并接受合同条款要求</w:t>
            </w:r>
          </w:p>
        </w:tc>
        <w:tc>
          <w:tcPr>
            <w:tcW w:w="838" w:type="dxa"/>
            <w:vAlign w:val="center"/>
          </w:tcPr>
          <w:p>
            <w:pPr>
              <w:pStyle w:val="49"/>
              <w:kinsoku/>
              <w:overflowPunct/>
              <w:topLinePunct w:val="0"/>
              <w:bidi w:val="0"/>
              <w:outlineLvl w:val="9"/>
              <w:rPr>
                <w:rFonts w:ascii="宋体" w:hAnsi="宋体"/>
                <w:color w:val="auto"/>
                <w:sz w:val="21"/>
              </w:rPr>
            </w:pPr>
          </w:p>
        </w:tc>
        <w:tc>
          <w:tcPr>
            <w:tcW w:w="2230"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color w:val="auto"/>
                <w:sz w:val="21"/>
                <w:szCs w:val="21"/>
              </w:rPr>
            </w:pPr>
            <w:r>
              <w:rPr>
                <w:rFonts w:hint="eastAsia" w:hAnsi="宋体"/>
                <w:color w:val="auto"/>
                <w:sz w:val="21"/>
                <w:szCs w:val="21"/>
              </w:rPr>
              <w:t>完全理解并接受对合格</w:t>
            </w:r>
            <w:r>
              <w:rPr>
                <w:rFonts w:hint="eastAsia" w:hAnsi="宋体"/>
                <w:color w:val="auto"/>
                <w:sz w:val="21"/>
                <w:szCs w:val="21"/>
                <w:lang w:eastAsia="zh-CN"/>
              </w:rPr>
              <w:t>响应供应商</w:t>
            </w:r>
            <w:r>
              <w:rPr>
                <w:rFonts w:hint="eastAsia" w:hAnsi="宋体"/>
                <w:color w:val="auto"/>
                <w:sz w:val="21"/>
                <w:szCs w:val="21"/>
              </w:rPr>
              <w:t>、合格的货物、工期和服务要求</w:t>
            </w:r>
          </w:p>
        </w:tc>
        <w:tc>
          <w:tcPr>
            <w:tcW w:w="838" w:type="dxa"/>
            <w:vAlign w:val="center"/>
          </w:tcPr>
          <w:p>
            <w:pPr>
              <w:pStyle w:val="49"/>
              <w:kinsoku/>
              <w:overflowPunct/>
              <w:topLinePunct w:val="0"/>
              <w:bidi w:val="0"/>
              <w:outlineLvl w:val="9"/>
              <w:rPr>
                <w:rFonts w:ascii="宋体" w:hAnsi="宋体"/>
                <w:color w:val="auto"/>
                <w:sz w:val="21"/>
              </w:rPr>
            </w:pPr>
          </w:p>
        </w:tc>
        <w:tc>
          <w:tcPr>
            <w:tcW w:w="2230"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color w:val="auto"/>
                <w:sz w:val="21"/>
                <w:szCs w:val="21"/>
              </w:rPr>
            </w:pPr>
            <w:r>
              <w:rPr>
                <w:rFonts w:hint="eastAsia" w:hAnsi="宋体"/>
                <w:color w:val="auto"/>
                <w:sz w:val="21"/>
                <w:szCs w:val="21"/>
              </w:rPr>
              <w:t>完全理解并接受对</w:t>
            </w:r>
            <w:r>
              <w:rPr>
                <w:rFonts w:hint="eastAsia" w:hAnsi="宋体"/>
                <w:color w:val="auto"/>
                <w:sz w:val="21"/>
                <w:szCs w:val="21"/>
                <w:lang w:eastAsia="zh-CN"/>
              </w:rPr>
              <w:t>响应供应商</w:t>
            </w:r>
            <w:r>
              <w:rPr>
                <w:rFonts w:hint="eastAsia" w:hAnsi="宋体"/>
                <w:color w:val="auto"/>
                <w:sz w:val="21"/>
                <w:szCs w:val="21"/>
              </w:rPr>
              <w:t>的各项须知、规约要求和责任义务</w:t>
            </w:r>
          </w:p>
        </w:tc>
        <w:tc>
          <w:tcPr>
            <w:tcW w:w="838" w:type="dxa"/>
            <w:vAlign w:val="center"/>
          </w:tcPr>
          <w:p>
            <w:pPr>
              <w:kinsoku/>
              <w:overflowPunct/>
              <w:topLinePunct w:val="0"/>
              <w:bidi w:val="0"/>
              <w:jc w:val="center"/>
              <w:outlineLvl w:val="9"/>
              <w:rPr>
                <w:rFonts w:hAnsi="宋体"/>
                <w:color w:val="auto"/>
                <w:sz w:val="21"/>
                <w:szCs w:val="21"/>
              </w:rPr>
            </w:pPr>
          </w:p>
        </w:tc>
        <w:tc>
          <w:tcPr>
            <w:tcW w:w="2230"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color w:val="auto"/>
                <w:sz w:val="21"/>
                <w:szCs w:val="21"/>
              </w:rPr>
            </w:pPr>
            <w:r>
              <w:rPr>
                <w:rFonts w:hint="eastAsia" w:hAnsi="宋体"/>
                <w:color w:val="auto"/>
                <w:sz w:val="21"/>
                <w:szCs w:val="21"/>
                <w:lang w:eastAsia="zh-CN"/>
              </w:rPr>
              <w:t>响应有效期</w:t>
            </w:r>
            <w:r>
              <w:rPr>
                <w:rFonts w:hint="eastAsia" w:hAnsi="宋体"/>
                <w:color w:val="auto"/>
                <w:sz w:val="21"/>
                <w:szCs w:val="21"/>
              </w:rPr>
              <w:t>：</w:t>
            </w:r>
            <w:r>
              <w:rPr>
                <w:rFonts w:hint="eastAsia" w:hAnsi="宋体"/>
                <w:color w:val="auto"/>
                <w:sz w:val="21"/>
                <w:szCs w:val="21"/>
                <w:lang w:eastAsia="zh-CN"/>
              </w:rPr>
              <w:t>响应有效期</w:t>
            </w:r>
            <w:r>
              <w:rPr>
                <w:rFonts w:hint="eastAsia" w:hAnsi="宋体"/>
                <w:color w:val="auto"/>
                <w:sz w:val="21"/>
                <w:szCs w:val="21"/>
              </w:rPr>
              <w:t>为自递交</w:t>
            </w:r>
            <w:r>
              <w:rPr>
                <w:rFonts w:hint="eastAsia" w:hAnsi="宋体"/>
                <w:color w:val="auto"/>
                <w:sz w:val="21"/>
                <w:szCs w:val="21"/>
                <w:lang w:eastAsia="zh-CN"/>
              </w:rPr>
              <w:t>响应文件</w:t>
            </w:r>
            <w:r>
              <w:rPr>
                <w:rFonts w:hint="eastAsia" w:hAnsi="宋体"/>
                <w:color w:val="auto"/>
                <w:sz w:val="21"/>
                <w:szCs w:val="21"/>
              </w:rPr>
              <w:t>起至确定正式成交止不少于</w:t>
            </w:r>
            <w:r>
              <w:rPr>
                <w:rFonts w:hint="eastAsia" w:hAnsi="宋体"/>
                <w:color w:val="auto"/>
                <w:sz w:val="21"/>
                <w:szCs w:val="21"/>
                <w:u w:val="single"/>
              </w:rPr>
              <w:t>90</w:t>
            </w:r>
            <w:r>
              <w:rPr>
                <w:rFonts w:hint="eastAsia" w:hAnsi="宋体"/>
                <w:color w:val="auto"/>
                <w:sz w:val="21"/>
                <w:szCs w:val="21"/>
              </w:rPr>
              <w:t>天，成交单位有效期至项目验收之日</w:t>
            </w:r>
          </w:p>
        </w:tc>
        <w:tc>
          <w:tcPr>
            <w:tcW w:w="838" w:type="dxa"/>
            <w:vAlign w:val="center"/>
          </w:tcPr>
          <w:p>
            <w:pPr>
              <w:kinsoku/>
              <w:overflowPunct/>
              <w:topLinePunct w:val="0"/>
              <w:bidi w:val="0"/>
              <w:jc w:val="center"/>
              <w:outlineLvl w:val="9"/>
              <w:rPr>
                <w:rFonts w:hAnsi="宋体"/>
                <w:color w:val="auto"/>
                <w:sz w:val="21"/>
                <w:szCs w:val="21"/>
              </w:rPr>
            </w:pPr>
          </w:p>
        </w:tc>
        <w:tc>
          <w:tcPr>
            <w:tcW w:w="2230" w:type="dxa"/>
            <w:vAlign w:val="center"/>
          </w:tcPr>
          <w:p>
            <w:pPr>
              <w:kinsoku/>
              <w:overflowPunct/>
              <w:topLinePunct w:val="0"/>
              <w:bidi w:val="0"/>
              <w:ind w:right="-35"/>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color w:val="auto"/>
                <w:sz w:val="21"/>
                <w:szCs w:val="21"/>
              </w:rPr>
            </w:pPr>
            <w:r>
              <w:rPr>
                <w:rFonts w:hint="eastAsia" w:hAnsi="宋体"/>
                <w:color w:val="auto"/>
                <w:sz w:val="21"/>
                <w:szCs w:val="21"/>
              </w:rPr>
              <w:t>报价内容均涵盖报价要求之一切费用和伴随货物</w:t>
            </w:r>
          </w:p>
        </w:tc>
        <w:tc>
          <w:tcPr>
            <w:tcW w:w="838" w:type="dxa"/>
            <w:vAlign w:val="center"/>
          </w:tcPr>
          <w:p>
            <w:pPr>
              <w:kinsoku/>
              <w:overflowPunct/>
              <w:topLinePunct w:val="0"/>
              <w:bidi w:val="0"/>
              <w:jc w:val="center"/>
              <w:outlineLvl w:val="9"/>
              <w:rPr>
                <w:rFonts w:hAnsi="宋体"/>
                <w:color w:val="auto"/>
                <w:sz w:val="21"/>
                <w:szCs w:val="21"/>
              </w:rPr>
            </w:pPr>
          </w:p>
        </w:tc>
        <w:tc>
          <w:tcPr>
            <w:tcW w:w="2230" w:type="dxa"/>
            <w:vAlign w:val="center"/>
          </w:tcPr>
          <w:p>
            <w:pPr>
              <w:pStyle w:val="49"/>
              <w:kinsoku/>
              <w:overflowPunct/>
              <w:topLinePunct w:val="0"/>
              <w:bidi w:val="0"/>
              <w:outlineLvl w:val="9"/>
              <w:rPr>
                <w:rFonts w:ascii="宋体" w:hAnsi="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color w:val="auto"/>
                <w:sz w:val="21"/>
                <w:szCs w:val="21"/>
              </w:rPr>
            </w:pPr>
            <w:r>
              <w:rPr>
                <w:rFonts w:hint="eastAsia" w:hAnsi="宋体"/>
                <w:color w:val="auto"/>
                <w:sz w:val="21"/>
                <w:szCs w:val="21"/>
              </w:rPr>
              <w:t>同意接受合同范本所列述的各项条款</w:t>
            </w:r>
          </w:p>
        </w:tc>
        <w:tc>
          <w:tcPr>
            <w:tcW w:w="838" w:type="dxa"/>
            <w:vAlign w:val="center"/>
          </w:tcPr>
          <w:p>
            <w:pPr>
              <w:kinsoku/>
              <w:overflowPunct/>
              <w:topLinePunct w:val="0"/>
              <w:bidi w:val="0"/>
              <w:jc w:val="center"/>
              <w:outlineLvl w:val="9"/>
              <w:rPr>
                <w:rFonts w:hAnsi="宋体"/>
                <w:color w:val="auto"/>
                <w:sz w:val="21"/>
                <w:szCs w:val="21"/>
              </w:rPr>
            </w:pPr>
          </w:p>
        </w:tc>
        <w:tc>
          <w:tcPr>
            <w:tcW w:w="2230"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kinsoku/>
              <w:overflowPunct/>
              <w:topLinePunct w:val="0"/>
              <w:bidi w:val="0"/>
              <w:outlineLvl w:val="9"/>
              <w:rPr>
                <w:rFonts w:hAnsi="宋体"/>
                <w:color w:val="auto"/>
                <w:sz w:val="21"/>
                <w:szCs w:val="21"/>
              </w:rPr>
            </w:pPr>
            <w:r>
              <w:rPr>
                <w:rFonts w:hint="eastAsia" w:hAnsi="宋体"/>
                <w:color w:val="auto"/>
                <w:sz w:val="21"/>
                <w:szCs w:val="21"/>
              </w:rPr>
              <w:t>同意按本项目要求缴付相关款项</w:t>
            </w:r>
          </w:p>
        </w:tc>
        <w:tc>
          <w:tcPr>
            <w:tcW w:w="838" w:type="dxa"/>
            <w:vAlign w:val="center"/>
          </w:tcPr>
          <w:p>
            <w:pPr>
              <w:kinsoku/>
              <w:overflowPunct/>
              <w:topLinePunct w:val="0"/>
              <w:bidi w:val="0"/>
              <w:jc w:val="center"/>
              <w:outlineLvl w:val="9"/>
              <w:rPr>
                <w:rFonts w:hAnsi="宋体"/>
                <w:color w:val="auto"/>
                <w:sz w:val="21"/>
                <w:szCs w:val="21"/>
              </w:rPr>
            </w:pPr>
          </w:p>
        </w:tc>
        <w:tc>
          <w:tcPr>
            <w:tcW w:w="2230"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6444" w:type="dxa"/>
            <w:vAlign w:val="center"/>
          </w:tcPr>
          <w:p>
            <w:pPr>
              <w:pStyle w:val="41"/>
              <w:kinsoku/>
              <w:overflowPunct/>
              <w:topLinePunct w:val="0"/>
              <w:bidi w:val="0"/>
              <w:outlineLvl w:val="9"/>
              <w:rPr>
                <w:rFonts w:ascii="宋体" w:hAnsi="宋体"/>
                <w:color w:val="auto"/>
                <w:szCs w:val="21"/>
              </w:rPr>
            </w:pPr>
            <w:r>
              <w:rPr>
                <w:rFonts w:hint="eastAsia" w:ascii="宋体" w:hAnsi="宋体"/>
                <w:color w:val="auto"/>
                <w:szCs w:val="21"/>
              </w:rPr>
              <w:t>同意采购方以任何形式对我方报价/响应文件内容的真实性和有效性进行审查、验证</w:t>
            </w:r>
          </w:p>
        </w:tc>
        <w:tc>
          <w:tcPr>
            <w:tcW w:w="838" w:type="dxa"/>
            <w:vAlign w:val="center"/>
          </w:tcPr>
          <w:p>
            <w:pPr>
              <w:kinsoku/>
              <w:overflowPunct/>
              <w:topLinePunct w:val="0"/>
              <w:bidi w:val="0"/>
              <w:jc w:val="center"/>
              <w:outlineLvl w:val="9"/>
              <w:rPr>
                <w:rFonts w:hAnsi="宋体"/>
                <w:color w:val="auto"/>
                <w:sz w:val="21"/>
                <w:szCs w:val="21"/>
              </w:rPr>
            </w:pPr>
          </w:p>
        </w:tc>
        <w:tc>
          <w:tcPr>
            <w:tcW w:w="2230" w:type="dxa"/>
            <w:vAlign w:val="center"/>
          </w:tcPr>
          <w:p>
            <w:pPr>
              <w:kinsoku/>
              <w:overflowPunct/>
              <w:topLinePunct w:val="0"/>
              <w:bidi w:val="0"/>
              <w:jc w:val="center"/>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56" w:type="dxa"/>
            <w:vAlign w:val="center"/>
          </w:tcPr>
          <w:p>
            <w:pPr>
              <w:numPr>
                <w:ilvl w:val="0"/>
                <w:numId w:val="5"/>
              </w:numPr>
              <w:kinsoku/>
              <w:overflowPunct/>
              <w:topLinePunct w:val="0"/>
              <w:bidi w:val="0"/>
              <w:outlineLvl w:val="9"/>
              <w:rPr>
                <w:rFonts w:hAnsi="宋体"/>
                <w:color w:val="auto"/>
                <w:sz w:val="21"/>
                <w:szCs w:val="21"/>
              </w:rPr>
            </w:pPr>
          </w:p>
        </w:tc>
        <w:tc>
          <w:tcPr>
            <w:tcW w:w="9512" w:type="dxa"/>
            <w:gridSpan w:val="3"/>
            <w:vAlign w:val="center"/>
          </w:tcPr>
          <w:p>
            <w:pPr>
              <w:kinsoku/>
              <w:overflowPunct/>
              <w:topLinePunct w:val="0"/>
              <w:bidi w:val="0"/>
              <w:outlineLvl w:val="9"/>
              <w:rPr>
                <w:rFonts w:hAnsi="宋体"/>
                <w:color w:val="auto"/>
                <w:sz w:val="21"/>
                <w:szCs w:val="21"/>
              </w:rPr>
            </w:pPr>
            <w:r>
              <w:rPr>
                <w:rFonts w:hint="eastAsia" w:hAnsi="宋体"/>
                <w:color w:val="auto"/>
                <w:sz w:val="21"/>
                <w:szCs w:val="21"/>
              </w:rPr>
              <w:t>其它商务条款偏离说明：</w:t>
            </w:r>
          </w:p>
        </w:tc>
      </w:tr>
    </w:tbl>
    <w:p>
      <w:pPr>
        <w:kinsoku/>
        <w:overflowPunct/>
        <w:topLinePunct w:val="0"/>
        <w:bidi w:val="0"/>
        <w:spacing w:beforeLines="50"/>
        <w:ind w:left="735" w:hanging="735" w:hangingChars="350"/>
        <w:outlineLvl w:val="9"/>
        <w:rPr>
          <w:rFonts w:hAnsi="宋体"/>
          <w:color w:val="auto"/>
          <w:sz w:val="21"/>
          <w:szCs w:val="21"/>
        </w:rPr>
      </w:pPr>
      <w:r>
        <w:rPr>
          <w:rFonts w:hint="eastAsia" w:hAnsi="宋体"/>
          <w:color w:val="auto"/>
          <w:sz w:val="21"/>
          <w:szCs w:val="21"/>
        </w:rPr>
        <w:t>注： 1.对于上述要求，如</w:t>
      </w:r>
      <w:r>
        <w:rPr>
          <w:rFonts w:hint="eastAsia" w:hAnsi="宋体"/>
          <w:color w:val="auto"/>
          <w:sz w:val="21"/>
          <w:szCs w:val="21"/>
          <w:lang w:eastAsia="zh-CN"/>
        </w:rPr>
        <w:t>响应供应商</w:t>
      </w:r>
      <w:r>
        <w:rPr>
          <w:rFonts w:hint="eastAsia" w:hAnsi="宋体"/>
          <w:color w:val="auto"/>
          <w:sz w:val="21"/>
          <w:szCs w:val="21"/>
        </w:rPr>
        <w:t>完全响应，则请在“是否响应”栏内打“√”，对空白或打“×”视为偏离，请在“偏离说明”栏内扼要说明偏离情况。</w:t>
      </w:r>
    </w:p>
    <w:p>
      <w:pPr>
        <w:kinsoku/>
        <w:overflowPunct/>
        <w:topLinePunct w:val="0"/>
        <w:bidi w:val="0"/>
        <w:ind w:firstLine="420"/>
        <w:outlineLvl w:val="9"/>
        <w:rPr>
          <w:rFonts w:hAnsi="宋体"/>
          <w:color w:val="auto"/>
          <w:sz w:val="21"/>
          <w:szCs w:val="21"/>
        </w:rPr>
      </w:pPr>
      <w:r>
        <w:rPr>
          <w:rFonts w:hint="eastAsia" w:hAnsi="宋体"/>
          <w:color w:val="auto"/>
          <w:sz w:val="21"/>
          <w:szCs w:val="21"/>
        </w:rPr>
        <w:t xml:space="preserve"> 2.本表内容不得擅自修改。</w:t>
      </w:r>
    </w:p>
    <w:p>
      <w:pPr>
        <w:kinsoku/>
        <w:overflowPunct/>
        <w:topLinePunct w:val="0"/>
        <w:bidi w:val="0"/>
        <w:snapToGrid w:val="0"/>
        <w:spacing w:line="300" w:lineRule="auto"/>
        <w:outlineLvl w:val="9"/>
        <w:rPr>
          <w:rFonts w:hAnsi="宋体"/>
          <w:color w:val="auto"/>
          <w:sz w:val="21"/>
          <w:szCs w:val="21"/>
        </w:rPr>
      </w:pPr>
    </w:p>
    <w:p>
      <w:pPr>
        <w:pStyle w:val="15"/>
        <w:kinsoku/>
        <w:overflowPunct/>
        <w:topLinePunct w:val="0"/>
        <w:bidi w:val="0"/>
        <w:outlineLvl w:val="9"/>
        <w:rPr>
          <w:color w:val="auto"/>
        </w:rPr>
      </w:pPr>
    </w:p>
    <w:p>
      <w:pPr>
        <w:kinsoku/>
        <w:overflowPunct/>
        <w:topLinePunct w:val="0"/>
        <w:bidi w:val="0"/>
        <w:outlineLvl w:val="9"/>
        <w:rPr>
          <w:color w:val="auto"/>
        </w:rPr>
      </w:pPr>
    </w:p>
    <w:p>
      <w:pPr>
        <w:pStyle w:val="15"/>
        <w:kinsoku/>
        <w:overflowPunct/>
        <w:topLinePunct w:val="0"/>
        <w:bidi w:val="0"/>
        <w:outlineLvl w:val="9"/>
        <w:rPr>
          <w:color w:val="auto"/>
        </w:rPr>
      </w:pPr>
    </w:p>
    <w:p>
      <w:pPr>
        <w:kinsoku/>
        <w:overflowPunct/>
        <w:topLinePunct w:val="0"/>
        <w:bidi w:val="0"/>
        <w:outlineLvl w:val="9"/>
        <w:rPr>
          <w:color w:val="auto"/>
        </w:rPr>
      </w:pPr>
    </w:p>
    <w:p>
      <w:pPr>
        <w:pStyle w:val="15"/>
        <w:kinsoku/>
        <w:overflowPunct/>
        <w:topLinePunct w:val="0"/>
        <w:bidi w:val="0"/>
        <w:outlineLvl w:val="9"/>
        <w:rPr>
          <w:color w:val="auto"/>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wordWrap w:val="0"/>
        <w:overflowPunct/>
        <w:topLinePunct w:val="0"/>
        <w:bidi w:val="0"/>
        <w:spacing w:line="360" w:lineRule="auto"/>
        <w:outlineLvl w:val="9"/>
        <w:rPr>
          <w:rFonts w:hAnsi="宋体"/>
          <w:color w:val="auto"/>
          <w:sz w:val="21"/>
          <w:szCs w:val="21"/>
        </w:rPr>
      </w:pPr>
    </w:p>
    <w:p>
      <w:pPr>
        <w:kinsoku/>
        <w:wordWrap w:val="0"/>
        <w:overflowPunct/>
        <w:topLinePunct w:val="0"/>
        <w:bidi w:val="0"/>
        <w:spacing w:line="360" w:lineRule="auto"/>
        <w:outlineLvl w:val="9"/>
        <w:rPr>
          <w:rFonts w:hAnsi="宋体"/>
          <w:color w:val="auto"/>
          <w:sz w:val="21"/>
          <w:szCs w:val="21"/>
        </w:rPr>
      </w:pPr>
    </w:p>
    <w:p>
      <w:pPr>
        <w:kinsoku/>
        <w:wordWrap w:val="0"/>
        <w:overflowPunct/>
        <w:topLinePunct w:val="0"/>
        <w:bidi w:val="0"/>
        <w:spacing w:line="360" w:lineRule="auto"/>
        <w:outlineLvl w:val="9"/>
        <w:rPr>
          <w:rFonts w:hAnsi="宋体"/>
          <w:color w:val="auto"/>
          <w:sz w:val="21"/>
          <w:szCs w:val="21"/>
        </w:rPr>
      </w:pPr>
    </w:p>
    <w:p>
      <w:pPr>
        <w:kinsoku/>
        <w:wordWrap w:val="0"/>
        <w:overflowPunct/>
        <w:topLinePunct w:val="0"/>
        <w:bidi w:val="0"/>
        <w:spacing w:line="360" w:lineRule="auto"/>
        <w:outlineLvl w:val="9"/>
        <w:rPr>
          <w:rFonts w:hAnsi="宋体"/>
          <w:color w:val="auto"/>
          <w:sz w:val="21"/>
          <w:szCs w:val="21"/>
        </w:rPr>
      </w:pPr>
    </w:p>
    <w:p>
      <w:pPr>
        <w:kinsoku/>
        <w:wordWrap w:val="0"/>
        <w:overflowPunct/>
        <w:topLinePunct w:val="0"/>
        <w:bidi w:val="0"/>
        <w:spacing w:line="360" w:lineRule="auto"/>
        <w:outlineLvl w:val="9"/>
        <w:rPr>
          <w:rFonts w:hAnsi="宋体"/>
          <w:color w:val="auto"/>
          <w:sz w:val="21"/>
          <w:szCs w:val="21"/>
        </w:rPr>
      </w:pPr>
    </w:p>
    <w:p>
      <w:pPr>
        <w:kinsoku/>
        <w:wordWrap w:val="0"/>
        <w:overflowPunct/>
        <w:topLinePunct w:val="0"/>
        <w:bidi w:val="0"/>
        <w:spacing w:line="360" w:lineRule="auto"/>
        <w:outlineLvl w:val="9"/>
        <w:rPr>
          <w:rFonts w:hAnsi="宋体"/>
          <w:color w:val="auto"/>
          <w:sz w:val="21"/>
          <w:szCs w:val="21"/>
        </w:rPr>
      </w:pPr>
    </w:p>
    <w:p>
      <w:pPr>
        <w:kinsoku/>
        <w:overflowPunct/>
        <w:topLinePunct w:val="0"/>
        <w:bidi w:val="0"/>
        <w:spacing w:line="480" w:lineRule="exact"/>
        <w:jc w:val="center"/>
        <w:outlineLvl w:val="9"/>
        <w:rPr>
          <w:rFonts w:hAnsi="宋体"/>
          <w:b/>
          <w:color w:val="auto"/>
          <w:sz w:val="44"/>
          <w:szCs w:val="44"/>
        </w:rPr>
      </w:pPr>
    </w:p>
    <w:p>
      <w:pPr>
        <w:kinsoku/>
        <w:overflowPunct/>
        <w:topLinePunct w:val="0"/>
        <w:bidi w:val="0"/>
        <w:spacing w:line="480" w:lineRule="exact"/>
        <w:jc w:val="center"/>
        <w:outlineLvl w:val="9"/>
        <w:rPr>
          <w:rFonts w:hAnsi="宋体"/>
          <w:b/>
          <w:color w:val="auto"/>
          <w:sz w:val="28"/>
          <w:szCs w:val="28"/>
        </w:rPr>
      </w:pPr>
      <w:r>
        <w:rPr>
          <w:rFonts w:hint="eastAsia" w:hAnsi="宋体"/>
          <w:b/>
          <w:color w:val="auto"/>
          <w:sz w:val="28"/>
          <w:szCs w:val="28"/>
          <w:lang w:eastAsia="zh-CN"/>
        </w:rPr>
        <w:t>第三节</w:t>
      </w:r>
      <w:r>
        <w:rPr>
          <w:rFonts w:hint="eastAsia" w:hAnsi="宋体"/>
          <w:b/>
          <w:color w:val="auto"/>
          <w:sz w:val="28"/>
          <w:szCs w:val="28"/>
          <w:lang w:val="en-US" w:eastAsia="zh-CN"/>
        </w:rPr>
        <w:t xml:space="preserve"> </w:t>
      </w:r>
      <w:r>
        <w:rPr>
          <w:rFonts w:hint="eastAsia" w:hAnsi="宋体"/>
          <w:b/>
          <w:color w:val="auto"/>
          <w:sz w:val="28"/>
          <w:szCs w:val="28"/>
        </w:rPr>
        <w:t>技术部分</w:t>
      </w:r>
    </w:p>
    <w:bookmarkEnd w:id="68"/>
    <w:p>
      <w:pPr>
        <w:kinsoku/>
        <w:overflowPunct/>
        <w:topLinePunct w:val="0"/>
        <w:bidi w:val="0"/>
        <w:spacing w:line="360" w:lineRule="auto"/>
        <w:outlineLvl w:val="9"/>
        <w:rPr>
          <w:rFonts w:hAnsi="宋体"/>
          <w:color w:val="auto"/>
          <w:sz w:val="21"/>
          <w:szCs w:val="21"/>
        </w:rPr>
      </w:pPr>
      <w:bookmarkStart w:id="75" w:name="_Hlt10523647"/>
      <w:bookmarkEnd w:id="75"/>
      <w:bookmarkStart w:id="76" w:name="_Hlt10520028"/>
      <w:bookmarkEnd w:id="76"/>
      <w:bookmarkStart w:id="77" w:name="_Toc10548709"/>
      <w:bookmarkStart w:id="78" w:name="_Toc4471833"/>
    </w:p>
    <w:p>
      <w:pPr>
        <w:kinsoku/>
        <w:overflowPunct/>
        <w:topLinePunct w:val="0"/>
        <w:bidi w:val="0"/>
        <w:spacing w:line="360" w:lineRule="auto"/>
        <w:outlineLvl w:val="9"/>
        <w:rPr>
          <w:rFonts w:hAnsi="宋体"/>
          <w:b/>
          <w:color w:val="auto"/>
          <w:sz w:val="21"/>
          <w:szCs w:val="20"/>
        </w:rPr>
      </w:pPr>
      <w:r>
        <w:rPr>
          <w:rFonts w:hint="eastAsia" w:hAnsi="宋体"/>
          <w:b/>
          <w:color w:val="auto"/>
          <w:sz w:val="21"/>
          <w:szCs w:val="20"/>
        </w:rPr>
        <w:t xml:space="preserve">附表3.1 </w:t>
      </w:r>
      <w:r>
        <w:rPr>
          <w:rFonts w:hint="eastAsia" w:hAnsi="宋体"/>
          <w:b/>
          <w:color w:val="auto"/>
          <w:sz w:val="21"/>
          <w:szCs w:val="20"/>
          <w:lang w:eastAsia="zh-CN"/>
        </w:rPr>
        <w:t>实施</w:t>
      </w:r>
      <w:r>
        <w:rPr>
          <w:rFonts w:hint="eastAsia" w:hAnsi="宋体"/>
          <w:b/>
          <w:color w:val="auto"/>
          <w:sz w:val="21"/>
          <w:szCs w:val="20"/>
        </w:rPr>
        <w:t>方案</w:t>
      </w:r>
    </w:p>
    <w:p>
      <w:pPr>
        <w:kinsoku/>
        <w:overflowPunct/>
        <w:topLinePunct w:val="0"/>
        <w:bidi w:val="0"/>
        <w:spacing w:line="360" w:lineRule="auto"/>
        <w:jc w:val="center"/>
        <w:outlineLvl w:val="9"/>
        <w:rPr>
          <w:rFonts w:hAnsi="宋体"/>
          <w:b/>
          <w:color w:val="auto"/>
          <w:sz w:val="21"/>
          <w:szCs w:val="21"/>
        </w:rPr>
      </w:pPr>
    </w:p>
    <w:p>
      <w:pPr>
        <w:kinsoku/>
        <w:overflowPunct/>
        <w:topLinePunct w:val="0"/>
        <w:bidi w:val="0"/>
        <w:spacing w:line="360" w:lineRule="auto"/>
        <w:jc w:val="center"/>
        <w:outlineLvl w:val="9"/>
        <w:rPr>
          <w:rFonts w:hAnsi="宋体"/>
          <w:b/>
          <w:color w:val="auto"/>
          <w:sz w:val="28"/>
          <w:szCs w:val="28"/>
        </w:rPr>
      </w:pPr>
      <w:r>
        <w:rPr>
          <w:rFonts w:hint="eastAsia" w:hAnsi="宋体"/>
          <w:b/>
          <w:color w:val="auto"/>
          <w:sz w:val="28"/>
          <w:szCs w:val="28"/>
          <w:lang w:eastAsia="zh-CN"/>
        </w:rPr>
        <w:t>实施</w:t>
      </w:r>
      <w:r>
        <w:rPr>
          <w:rFonts w:hint="eastAsia" w:hAnsi="宋体"/>
          <w:b/>
          <w:color w:val="auto"/>
          <w:sz w:val="28"/>
          <w:szCs w:val="28"/>
        </w:rPr>
        <w:t>方案</w:t>
      </w:r>
    </w:p>
    <w:p>
      <w:pPr>
        <w:spacing w:line="360" w:lineRule="auto"/>
        <w:ind w:firstLine="480" w:firstLineChars="200"/>
        <w:rPr>
          <w:rFonts w:hint="eastAsia" w:hAnsi="宋体"/>
          <w:color w:val="auto"/>
          <w:sz w:val="24"/>
          <w:szCs w:val="24"/>
        </w:rPr>
      </w:pPr>
      <w:r>
        <w:rPr>
          <w:rFonts w:hint="eastAsia" w:hAnsi="宋体"/>
          <w:color w:val="auto"/>
          <w:sz w:val="24"/>
          <w:szCs w:val="24"/>
          <w:lang w:eastAsia="zh-CN"/>
        </w:rPr>
        <w:t>响应供应商</w:t>
      </w:r>
      <w:r>
        <w:rPr>
          <w:rFonts w:hint="eastAsia" w:hAnsi="宋体"/>
          <w:color w:val="auto"/>
          <w:sz w:val="24"/>
          <w:szCs w:val="24"/>
        </w:rPr>
        <w:t>根据</w:t>
      </w:r>
      <w:r>
        <w:rPr>
          <w:rFonts w:hint="eastAsia" w:hAnsi="宋体"/>
          <w:color w:val="auto"/>
          <w:sz w:val="24"/>
          <w:szCs w:val="24"/>
          <w:lang w:eastAsia="zh-CN"/>
        </w:rPr>
        <w:t>谈判文件采购人需求内容编写，格式自拟</w:t>
      </w:r>
      <w:r>
        <w:rPr>
          <w:rFonts w:hint="eastAsia" w:hAnsi="宋体"/>
          <w:color w:val="auto"/>
          <w:sz w:val="24"/>
          <w:szCs w:val="24"/>
        </w:rPr>
        <w:t>。</w:t>
      </w:r>
    </w:p>
    <w:p>
      <w:pPr>
        <w:kinsoku/>
        <w:overflowPunct/>
        <w:topLinePunct w:val="0"/>
        <w:bidi w:val="0"/>
        <w:snapToGrid w:val="0"/>
        <w:spacing w:line="360" w:lineRule="auto"/>
        <w:outlineLvl w:val="9"/>
        <w:rPr>
          <w:rFonts w:hAnsi="宋体"/>
          <w:color w:val="auto"/>
          <w:sz w:val="21"/>
          <w:szCs w:val="21"/>
        </w:rPr>
      </w:pPr>
    </w:p>
    <w:p>
      <w:pPr>
        <w:pStyle w:val="11"/>
        <w:spacing w:line="500" w:lineRule="exact"/>
        <w:contextualSpacing/>
        <w:rPr>
          <w:rFonts w:hint="eastAsia" w:eastAsia="宋体"/>
          <w:b/>
          <w:color w:val="auto"/>
          <w:lang w:eastAsia="zh-CN"/>
        </w:rPr>
      </w:pPr>
      <w:r>
        <w:rPr>
          <w:rFonts w:hint="eastAsia" w:hAnsi="宋体"/>
          <w:b/>
          <w:color w:val="auto"/>
          <w:sz w:val="24"/>
          <w:szCs w:val="24"/>
          <w:lang w:eastAsia="zh-CN"/>
        </w:rPr>
        <w:t>附：产品</w:t>
      </w:r>
      <w:r>
        <w:rPr>
          <w:rFonts w:hint="eastAsia" w:hAnsi="宋体"/>
          <w:b/>
          <w:color w:val="auto"/>
          <w:sz w:val="24"/>
          <w:szCs w:val="24"/>
        </w:rPr>
        <w:t>说明一览表</w:t>
      </w:r>
      <w:r>
        <w:rPr>
          <w:rFonts w:hint="eastAsia" w:hAnsi="宋体"/>
          <w:b/>
          <w:color w:val="auto"/>
          <w:sz w:val="24"/>
          <w:szCs w:val="24"/>
          <w:lang w:eastAsia="zh-CN"/>
        </w:rPr>
        <w:t>（</w:t>
      </w:r>
      <w:r>
        <w:rPr>
          <w:rFonts w:hint="eastAsia" w:hAnsi="宋体"/>
          <w:b/>
          <w:color w:val="auto"/>
          <w:sz w:val="24"/>
          <w:szCs w:val="24"/>
        </w:rPr>
        <w:t>附件</w:t>
      </w:r>
      <w:r>
        <w:rPr>
          <w:rFonts w:hint="eastAsia" w:hAnsi="宋体"/>
          <w:b/>
          <w:color w:val="auto"/>
          <w:sz w:val="24"/>
          <w:szCs w:val="24"/>
          <w:lang w:val="en-US" w:eastAsia="zh-CN"/>
        </w:rPr>
        <w:t>3</w:t>
      </w:r>
      <w:r>
        <w:rPr>
          <w:rFonts w:hint="eastAsia" w:hAnsi="宋体"/>
          <w:b/>
          <w:color w:val="auto"/>
          <w:sz w:val="24"/>
          <w:szCs w:val="24"/>
        </w:rPr>
        <w:t>.1</w:t>
      </w:r>
      <w:r>
        <w:rPr>
          <w:rFonts w:hint="eastAsia" w:hAnsi="宋体"/>
          <w:b/>
          <w:color w:val="auto"/>
          <w:sz w:val="24"/>
          <w:szCs w:val="24"/>
          <w:lang w:val="en-US" w:eastAsia="zh-CN"/>
        </w:rPr>
        <w:t>.</w:t>
      </w:r>
      <w:r>
        <w:rPr>
          <w:rFonts w:hint="eastAsia" w:hAnsi="宋体"/>
          <w:b/>
          <w:color w:val="auto"/>
          <w:sz w:val="24"/>
          <w:szCs w:val="24"/>
        </w:rPr>
        <w:t>1</w:t>
      </w:r>
      <w:r>
        <w:rPr>
          <w:rFonts w:hint="eastAsia" w:hAnsi="宋体"/>
          <w:b/>
          <w:color w:val="auto"/>
          <w:sz w:val="24"/>
          <w:szCs w:val="24"/>
          <w:lang w:eastAsia="zh-CN"/>
        </w:rPr>
        <w:t>）</w:t>
      </w:r>
    </w:p>
    <w:p>
      <w:pPr>
        <w:spacing w:line="360" w:lineRule="auto"/>
        <w:rPr>
          <w:rFonts w:hint="eastAsia" w:hAnsi="宋体"/>
          <w:color w:val="auto"/>
        </w:rPr>
      </w:pP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624"/>
        <w:gridCol w:w="3709"/>
        <w:gridCol w:w="850"/>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noWrap w:val="0"/>
            <w:vAlign w:val="center"/>
          </w:tcPr>
          <w:p>
            <w:pPr>
              <w:snapToGrid w:val="0"/>
              <w:spacing w:line="440" w:lineRule="exact"/>
              <w:jc w:val="center"/>
              <w:rPr>
                <w:rFonts w:hint="eastAsia" w:hAnsi="宋体"/>
                <w:color w:val="auto"/>
              </w:rPr>
            </w:pPr>
            <w:r>
              <w:rPr>
                <w:rFonts w:hint="eastAsia" w:hAnsi="宋体"/>
                <w:color w:val="auto"/>
              </w:rPr>
              <w:t>序号</w:t>
            </w:r>
          </w:p>
        </w:tc>
        <w:tc>
          <w:tcPr>
            <w:tcW w:w="1624" w:type="dxa"/>
            <w:noWrap w:val="0"/>
            <w:vAlign w:val="center"/>
          </w:tcPr>
          <w:p>
            <w:pPr>
              <w:snapToGrid w:val="0"/>
              <w:spacing w:line="440" w:lineRule="exact"/>
              <w:jc w:val="center"/>
              <w:rPr>
                <w:rFonts w:hint="eastAsia" w:hAnsi="宋体"/>
                <w:color w:val="auto"/>
              </w:rPr>
            </w:pPr>
            <w:r>
              <w:rPr>
                <w:rFonts w:hint="eastAsia" w:hAnsi="宋体"/>
                <w:color w:val="auto"/>
                <w:lang w:eastAsia="zh-CN"/>
              </w:rPr>
              <w:t>产品</w:t>
            </w:r>
            <w:r>
              <w:rPr>
                <w:rFonts w:hint="eastAsia" w:hAnsi="宋体"/>
                <w:color w:val="auto"/>
              </w:rPr>
              <w:t>名称</w:t>
            </w:r>
          </w:p>
        </w:tc>
        <w:tc>
          <w:tcPr>
            <w:tcW w:w="3709" w:type="dxa"/>
            <w:noWrap w:val="0"/>
            <w:vAlign w:val="center"/>
          </w:tcPr>
          <w:p>
            <w:pPr>
              <w:snapToGrid w:val="0"/>
              <w:spacing w:line="440" w:lineRule="exact"/>
              <w:jc w:val="center"/>
              <w:rPr>
                <w:rFonts w:hint="eastAsia" w:hAnsi="宋体"/>
                <w:color w:val="auto"/>
              </w:rPr>
            </w:pPr>
            <w:r>
              <w:rPr>
                <w:rFonts w:hint="eastAsia" w:hAnsi="宋体"/>
                <w:color w:val="auto"/>
              </w:rPr>
              <w:t>主要规格</w:t>
            </w:r>
          </w:p>
        </w:tc>
        <w:tc>
          <w:tcPr>
            <w:tcW w:w="850" w:type="dxa"/>
            <w:noWrap w:val="0"/>
            <w:vAlign w:val="center"/>
          </w:tcPr>
          <w:p>
            <w:pPr>
              <w:snapToGrid w:val="0"/>
              <w:spacing w:line="440" w:lineRule="exact"/>
              <w:jc w:val="center"/>
              <w:rPr>
                <w:rFonts w:hint="eastAsia" w:hAnsi="宋体"/>
                <w:color w:val="auto"/>
              </w:rPr>
            </w:pPr>
            <w:r>
              <w:rPr>
                <w:rFonts w:hint="eastAsia" w:hAnsi="宋体"/>
                <w:color w:val="auto"/>
              </w:rPr>
              <w:t>数量</w:t>
            </w:r>
          </w:p>
        </w:tc>
        <w:tc>
          <w:tcPr>
            <w:tcW w:w="1134" w:type="dxa"/>
            <w:noWrap w:val="0"/>
            <w:vAlign w:val="center"/>
          </w:tcPr>
          <w:p>
            <w:pPr>
              <w:snapToGrid w:val="0"/>
              <w:spacing w:line="440" w:lineRule="exact"/>
              <w:jc w:val="center"/>
              <w:rPr>
                <w:rFonts w:hint="eastAsia" w:hAnsi="宋体"/>
                <w:color w:val="auto"/>
              </w:rPr>
            </w:pPr>
            <w:r>
              <w:rPr>
                <w:rFonts w:hint="eastAsia" w:hAnsi="宋体"/>
                <w:color w:val="auto"/>
              </w:rPr>
              <w:t>交货期</w:t>
            </w:r>
          </w:p>
        </w:tc>
        <w:tc>
          <w:tcPr>
            <w:tcW w:w="992" w:type="dxa"/>
            <w:noWrap w:val="0"/>
            <w:vAlign w:val="center"/>
          </w:tcPr>
          <w:p>
            <w:pPr>
              <w:snapToGrid w:val="0"/>
              <w:spacing w:line="440" w:lineRule="exact"/>
              <w:jc w:val="center"/>
              <w:rPr>
                <w:rFonts w:hint="eastAsia" w:hAnsi="宋体"/>
                <w:color w:val="auto"/>
              </w:rPr>
            </w:pPr>
            <w:r>
              <w:rPr>
                <w:rFonts w:hint="eastAsia"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noWrap w:val="0"/>
            <w:vAlign w:val="center"/>
          </w:tcPr>
          <w:p>
            <w:pPr>
              <w:snapToGrid w:val="0"/>
              <w:spacing w:line="440" w:lineRule="exact"/>
              <w:rPr>
                <w:rFonts w:hint="eastAsia" w:hAnsi="宋体"/>
                <w:color w:val="auto"/>
              </w:rPr>
            </w:pPr>
          </w:p>
        </w:tc>
        <w:tc>
          <w:tcPr>
            <w:tcW w:w="1624" w:type="dxa"/>
            <w:noWrap w:val="0"/>
            <w:vAlign w:val="center"/>
          </w:tcPr>
          <w:p>
            <w:pPr>
              <w:snapToGrid w:val="0"/>
              <w:spacing w:line="440" w:lineRule="exact"/>
              <w:rPr>
                <w:rFonts w:hint="eastAsia" w:hAnsi="宋体"/>
                <w:color w:val="auto"/>
              </w:rPr>
            </w:pPr>
          </w:p>
        </w:tc>
        <w:tc>
          <w:tcPr>
            <w:tcW w:w="3709" w:type="dxa"/>
            <w:noWrap w:val="0"/>
            <w:vAlign w:val="center"/>
          </w:tcPr>
          <w:p>
            <w:pPr>
              <w:snapToGrid w:val="0"/>
              <w:spacing w:line="440" w:lineRule="exact"/>
              <w:rPr>
                <w:rFonts w:hint="eastAsia" w:hAnsi="宋体"/>
                <w:color w:val="auto"/>
              </w:rPr>
            </w:pPr>
          </w:p>
        </w:tc>
        <w:tc>
          <w:tcPr>
            <w:tcW w:w="850" w:type="dxa"/>
            <w:noWrap w:val="0"/>
            <w:vAlign w:val="center"/>
          </w:tcPr>
          <w:p>
            <w:pPr>
              <w:snapToGrid w:val="0"/>
              <w:spacing w:line="440" w:lineRule="exact"/>
              <w:rPr>
                <w:rFonts w:hint="eastAsia" w:hAnsi="宋体"/>
                <w:color w:val="auto"/>
              </w:rPr>
            </w:pPr>
          </w:p>
        </w:tc>
        <w:tc>
          <w:tcPr>
            <w:tcW w:w="1134" w:type="dxa"/>
            <w:noWrap w:val="0"/>
            <w:vAlign w:val="center"/>
          </w:tcPr>
          <w:p>
            <w:pPr>
              <w:snapToGrid w:val="0"/>
              <w:spacing w:line="440" w:lineRule="exact"/>
              <w:rPr>
                <w:rFonts w:hint="eastAsia" w:hAnsi="宋体"/>
                <w:color w:val="auto"/>
              </w:rPr>
            </w:pPr>
          </w:p>
        </w:tc>
        <w:tc>
          <w:tcPr>
            <w:tcW w:w="992" w:type="dxa"/>
            <w:noWrap w:val="0"/>
            <w:vAlign w:val="center"/>
          </w:tcPr>
          <w:p>
            <w:pPr>
              <w:snapToGrid w:val="0"/>
              <w:spacing w:line="44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noWrap w:val="0"/>
            <w:vAlign w:val="center"/>
          </w:tcPr>
          <w:p>
            <w:pPr>
              <w:snapToGrid w:val="0"/>
              <w:spacing w:line="440" w:lineRule="exact"/>
              <w:rPr>
                <w:rFonts w:hint="eastAsia" w:hAnsi="宋体"/>
                <w:color w:val="auto"/>
              </w:rPr>
            </w:pPr>
          </w:p>
        </w:tc>
        <w:tc>
          <w:tcPr>
            <w:tcW w:w="1624" w:type="dxa"/>
            <w:noWrap w:val="0"/>
            <w:vAlign w:val="center"/>
          </w:tcPr>
          <w:p>
            <w:pPr>
              <w:snapToGrid w:val="0"/>
              <w:spacing w:line="440" w:lineRule="exact"/>
              <w:rPr>
                <w:rFonts w:hint="eastAsia" w:hAnsi="宋体"/>
                <w:color w:val="auto"/>
              </w:rPr>
            </w:pPr>
          </w:p>
        </w:tc>
        <w:tc>
          <w:tcPr>
            <w:tcW w:w="3709" w:type="dxa"/>
            <w:noWrap w:val="0"/>
            <w:vAlign w:val="center"/>
          </w:tcPr>
          <w:p>
            <w:pPr>
              <w:snapToGrid w:val="0"/>
              <w:spacing w:line="440" w:lineRule="exact"/>
              <w:rPr>
                <w:rFonts w:hint="eastAsia" w:hAnsi="宋体"/>
                <w:color w:val="auto"/>
              </w:rPr>
            </w:pPr>
          </w:p>
        </w:tc>
        <w:tc>
          <w:tcPr>
            <w:tcW w:w="850" w:type="dxa"/>
            <w:noWrap w:val="0"/>
            <w:vAlign w:val="center"/>
          </w:tcPr>
          <w:p>
            <w:pPr>
              <w:snapToGrid w:val="0"/>
              <w:spacing w:line="440" w:lineRule="exact"/>
              <w:rPr>
                <w:rFonts w:hint="eastAsia" w:hAnsi="宋体"/>
                <w:color w:val="auto"/>
              </w:rPr>
            </w:pPr>
          </w:p>
        </w:tc>
        <w:tc>
          <w:tcPr>
            <w:tcW w:w="1134" w:type="dxa"/>
            <w:noWrap w:val="0"/>
            <w:vAlign w:val="center"/>
          </w:tcPr>
          <w:p>
            <w:pPr>
              <w:snapToGrid w:val="0"/>
              <w:spacing w:line="440" w:lineRule="exact"/>
              <w:rPr>
                <w:rFonts w:hint="eastAsia" w:hAnsi="宋体"/>
                <w:color w:val="auto"/>
              </w:rPr>
            </w:pPr>
          </w:p>
        </w:tc>
        <w:tc>
          <w:tcPr>
            <w:tcW w:w="992" w:type="dxa"/>
            <w:noWrap w:val="0"/>
            <w:vAlign w:val="center"/>
          </w:tcPr>
          <w:p>
            <w:pPr>
              <w:snapToGrid w:val="0"/>
              <w:spacing w:line="44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noWrap w:val="0"/>
            <w:vAlign w:val="center"/>
          </w:tcPr>
          <w:p>
            <w:pPr>
              <w:snapToGrid w:val="0"/>
              <w:spacing w:line="440" w:lineRule="exact"/>
              <w:rPr>
                <w:rFonts w:hint="eastAsia" w:hAnsi="宋体"/>
                <w:color w:val="auto"/>
              </w:rPr>
            </w:pPr>
          </w:p>
        </w:tc>
        <w:tc>
          <w:tcPr>
            <w:tcW w:w="1624" w:type="dxa"/>
            <w:noWrap w:val="0"/>
            <w:vAlign w:val="center"/>
          </w:tcPr>
          <w:p>
            <w:pPr>
              <w:snapToGrid w:val="0"/>
              <w:spacing w:line="440" w:lineRule="exact"/>
              <w:rPr>
                <w:rFonts w:hint="eastAsia" w:hAnsi="宋体"/>
                <w:color w:val="auto"/>
              </w:rPr>
            </w:pPr>
          </w:p>
        </w:tc>
        <w:tc>
          <w:tcPr>
            <w:tcW w:w="3709" w:type="dxa"/>
            <w:noWrap w:val="0"/>
            <w:vAlign w:val="center"/>
          </w:tcPr>
          <w:p>
            <w:pPr>
              <w:snapToGrid w:val="0"/>
              <w:spacing w:line="440" w:lineRule="exact"/>
              <w:rPr>
                <w:rFonts w:hint="eastAsia" w:hAnsi="宋体"/>
                <w:color w:val="auto"/>
              </w:rPr>
            </w:pPr>
          </w:p>
        </w:tc>
        <w:tc>
          <w:tcPr>
            <w:tcW w:w="850" w:type="dxa"/>
            <w:noWrap w:val="0"/>
            <w:vAlign w:val="center"/>
          </w:tcPr>
          <w:p>
            <w:pPr>
              <w:snapToGrid w:val="0"/>
              <w:spacing w:line="440" w:lineRule="exact"/>
              <w:rPr>
                <w:rFonts w:hint="eastAsia" w:hAnsi="宋体"/>
                <w:color w:val="auto"/>
              </w:rPr>
            </w:pPr>
          </w:p>
        </w:tc>
        <w:tc>
          <w:tcPr>
            <w:tcW w:w="1134" w:type="dxa"/>
            <w:noWrap w:val="0"/>
            <w:vAlign w:val="center"/>
          </w:tcPr>
          <w:p>
            <w:pPr>
              <w:snapToGrid w:val="0"/>
              <w:spacing w:line="440" w:lineRule="exact"/>
              <w:rPr>
                <w:rFonts w:hint="eastAsia" w:hAnsi="宋体"/>
                <w:color w:val="auto"/>
              </w:rPr>
            </w:pPr>
          </w:p>
        </w:tc>
        <w:tc>
          <w:tcPr>
            <w:tcW w:w="992" w:type="dxa"/>
            <w:noWrap w:val="0"/>
            <w:vAlign w:val="center"/>
          </w:tcPr>
          <w:p>
            <w:pPr>
              <w:snapToGrid w:val="0"/>
              <w:spacing w:line="440" w:lineRule="exact"/>
              <w:rPr>
                <w:rFonts w:hint="eastAsia" w:hAnsi="宋体"/>
                <w:color w:val="auto"/>
              </w:rPr>
            </w:pPr>
          </w:p>
        </w:tc>
      </w:tr>
    </w:tbl>
    <w:p>
      <w:pPr>
        <w:spacing w:before="120" w:beforeLines="50"/>
        <w:rPr>
          <w:rFonts w:hint="eastAsia" w:hAnsi="宋体"/>
          <w:color w:val="auto"/>
        </w:rPr>
      </w:pPr>
      <w:r>
        <w:rPr>
          <w:rFonts w:hint="eastAsia" w:hAnsi="宋体"/>
          <w:color w:val="auto"/>
        </w:rPr>
        <w:t>注：各项货物详细技术性能应另页描述。</w:t>
      </w:r>
    </w:p>
    <w:p>
      <w:pPr>
        <w:kinsoku/>
        <w:overflowPunct/>
        <w:topLinePunct w:val="0"/>
        <w:bidi w:val="0"/>
        <w:snapToGrid w:val="0"/>
        <w:spacing w:line="360" w:lineRule="auto"/>
        <w:outlineLvl w:val="9"/>
        <w:rPr>
          <w:rFonts w:hAnsi="宋体"/>
          <w:color w:val="auto"/>
          <w:sz w:val="21"/>
          <w:szCs w:val="21"/>
        </w:rPr>
      </w:pPr>
    </w:p>
    <w:p>
      <w:pPr>
        <w:pStyle w:val="3"/>
        <w:rPr>
          <w:color w:val="auto"/>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pacing w:line="480" w:lineRule="exact"/>
        <w:outlineLvl w:val="9"/>
        <w:rPr>
          <w:rFonts w:hAnsi="宋体"/>
          <w:color w:val="auto"/>
          <w:sz w:val="21"/>
          <w:szCs w:val="21"/>
        </w:rPr>
      </w:pPr>
    </w:p>
    <w:p>
      <w:pPr>
        <w:kinsoku/>
        <w:overflowPunct/>
        <w:topLinePunct w:val="0"/>
        <w:bidi w:val="0"/>
        <w:spacing w:line="360" w:lineRule="auto"/>
        <w:outlineLvl w:val="9"/>
        <w:rPr>
          <w:rFonts w:hAnsi="宋体"/>
          <w:color w:val="auto"/>
          <w:sz w:val="21"/>
          <w:szCs w:val="21"/>
        </w:rPr>
      </w:pPr>
      <w:bookmarkStart w:id="79" w:name="_Toc493666593"/>
    </w:p>
    <w:p>
      <w:pPr>
        <w:kinsoku/>
        <w:overflowPunct/>
        <w:topLinePunct w:val="0"/>
        <w:bidi w:val="0"/>
        <w:spacing w:line="360" w:lineRule="auto"/>
        <w:outlineLvl w:val="9"/>
        <w:rPr>
          <w:rFonts w:hint="eastAsia" w:hAnsi="宋体"/>
          <w:b/>
          <w:color w:val="auto"/>
          <w:sz w:val="21"/>
          <w:szCs w:val="20"/>
          <w:lang w:eastAsia="zh-CN"/>
        </w:rPr>
      </w:pPr>
      <w:r>
        <w:rPr>
          <w:rFonts w:hint="eastAsia" w:hAnsi="宋体"/>
          <w:b/>
          <w:color w:val="auto"/>
          <w:sz w:val="21"/>
          <w:szCs w:val="20"/>
          <w:lang w:eastAsia="zh-CN"/>
        </w:rPr>
        <w:t>附表3.</w:t>
      </w:r>
      <w:r>
        <w:rPr>
          <w:rFonts w:hint="eastAsia" w:hAnsi="宋体"/>
          <w:b/>
          <w:color w:val="auto"/>
          <w:sz w:val="21"/>
          <w:szCs w:val="20"/>
          <w:lang w:val="en-US" w:eastAsia="zh-CN"/>
        </w:rPr>
        <w:t>2</w:t>
      </w:r>
      <w:r>
        <w:rPr>
          <w:rFonts w:hint="eastAsia" w:hAnsi="宋体"/>
          <w:b/>
          <w:color w:val="auto"/>
          <w:sz w:val="21"/>
          <w:szCs w:val="20"/>
          <w:lang w:eastAsia="zh-CN"/>
        </w:rPr>
        <w:t xml:space="preserve"> </w:t>
      </w:r>
      <w:r>
        <w:rPr>
          <w:rFonts w:hint="eastAsia" w:hAnsi="宋体"/>
          <w:b/>
          <w:color w:val="auto"/>
          <w:sz w:val="21"/>
          <w:szCs w:val="20"/>
          <w:lang w:val="en-US" w:eastAsia="zh-CN"/>
        </w:rPr>
        <w:t>应急服务保障能力</w:t>
      </w:r>
      <w:r>
        <w:rPr>
          <w:rFonts w:hint="eastAsia" w:hAnsi="宋体"/>
          <w:b/>
          <w:color w:val="auto"/>
          <w:sz w:val="21"/>
          <w:szCs w:val="20"/>
          <w:lang w:eastAsia="zh-CN"/>
        </w:rPr>
        <w:t>格式</w:t>
      </w:r>
      <w:bookmarkEnd w:id="79"/>
    </w:p>
    <w:p>
      <w:pPr>
        <w:spacing w:line="360" w:lineRule="auto"/>
        <w:jc w:val="center"/>
        <w:rPr>
          <w:rFonts w:hint="eastAsia" w:ascii="黑体" w:hAnsi="黑体" w:eastAsia="黑体" w:cs="黑体"/>
          <w:b w:val="0"/>
          <w:bCs/>
          <w:color w:val="auto"/>
          <w:sz w:val="28"/>
          <w:szCs w:val="28"/>
          <w:lang w:val="en-US" w:eastAsia="zh-CN"/>
        </w:rPr>
      </w:pPr>
      <w:bookmarkStart w:id="80" w:name="_Hlk499237892"/>
    </w:p>
    <w:p>
      <w:pPr>
        <w:spacing w:line="360" w:lineRule="auto"/>
        <w:jc w:val="center"/>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28"/>
          <w:szCs w:val="28"/>
          <w:lang w:val="en-US" w:eastAsia="zh-CN"/>
        </w:rPr>
        <w:t>应急服务保障能力</w:t>
      </w:r>
      <w:r>
        <w:rPr>
          <w:rFonts w:hint="eastAsia" w:ascii="黑体" w:hAnsi="黑体" w:eastAsia="黑体" w:cs="黑体"/>
          <w:b w:val="0"/>
          <w:bCs/>
          <w:color w:val="auto"/>
          <w:sz w:val="28"/>
          <w:szCs w:val="28"/>
          <w:lang w:eastAsia="zh-CN"/>
        </w:rPr>
        <w:t>方案</w:t>
      </w:r>
    </w:p>
    <w:bookmarkEnd w:id="80"/>
    <w:p>
      <w:pPr>
        <w:pStyle w:val="86"/>
        <w:jc w:val="center"/>
        <w:rPr>
          <w:rFonts w:hint="eastAsia" w:ascii="宋体" w:hAnsi="宋体" w:eastAsia="宋体" w:cs="宋体"/>
          <w:b w:val="0"/>
          <w:bCs w:val="0"/>
          <w:color w:val="auto"/>
          <w:sz w:val="24"/>
          <w:szCs w:val="24"/>
          <w:lang w:eastAsia="zh-CN"/>
        </w:rPr>
      </w:pPr>
      <w:r>
        <w:rPr>
          <w:rFonts w:hint="eastAsia" w:hAnsi="宋体"/>
          <w:color w:val="auto"/>
          <w:sz w:val="24"/>
          <w:szCs w:val="24"/>
          <w:lang w:eastAsia="zh-CN"/>
        </w:rPr>
        <w:t>（</w:t>
      </w:r>
      <w:r>
        <w:rPr>
          <w:rFonts w:hint="eastAsia" w:ascii="宋体" w:hAnsi="宋体" w:eastAsia="宋体" w:cs="宋体"/>
          <w:b w:val="0"/>
          <w:bCs w:val="0"/>
          <w:color w:val="auto"/>
          <w:sz w:val="24"/>
          <w:szCs w:val="24"/>
        </w:rPr>
        <w:t>格式</w:t>
      </w:r>
      <w:r>
        <w:rPr>
          <w:rFonts w:hint="eastAsia" w:ascii="宋体" w:hAnsi="宋体" w:eastAsia="宋体" w:cs="宋体"/>
          <w:b w:val="0"/>
          <w:bCs w:val="0"/>
          <w:color w:val="auto"/>
          <w:sz w:val="24"/>
          <w:szCs w:val="24"/>
          <w:lang w:eastAsia="zh-CN"/>
        </w:rPr>
        <w:t>、内容</w:t>
      </w:r>
      <w:r>
        <w:rPr>
          <w:rFonts w:hint="eastAsia" w:ascii="宋体" w:hAnsi="宋体" w:eastAsia="宋体" w:cs="宋体"/>
          <w:b w:val="0"/>
          <w:bCs w:val="0"/>
          <w:color w:val="auto"/>
          <w:sz w:val="24"/>
          <w:szCs w:val="24"/>
        </w:rPr>
        <w:t>自定</w:t>
      </w:r>
      <w:r>
        <w:rPr>
          <w:rFonts w:hint="eastAsia" w:ascii="宋体" w:hAnsi="宋体" w:eastAsia="宋体" w:cs="宋体"/>
          <w:b w:val="0"/>
          <w:bCs w:val="0"/>
          <w:color w:val="auto"/>
          <w:sz w:val="24"/>
          <w:szCs w:val="24"/>
          <w:lang w:eastAsia="zh-CN"/>
        </w:rPr>
        <w:t>）</w:t>
      </w:r>
    </w:p>
    <w:p>
      <w:pPr>
        <w:spacing w:line="360" w:lineRule="auto"/>
        <w:jc w:val="center"/>
        <w:rPr>
          <w:rFonts w:hint="eastAsia" w:hAnsi="宋体"/>
          <w:color w:val="auto"/>
          <w:sz w:val="24"/>
          <w:szCs w:val="24"/>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pacing w:line="480" w:lineRule="exact"/>
        <w:outlineLvl w:val="9"/>
        <w:rPr>
          <w:rFonts w:hAnsi="宋体"/>
          <w:color w:val="auto"/>
          <w:sz w:val="21"/>
          <w:szCs w:val="21"/>
        </w:rPr>
      </w:pPr>
    </w:p>
    <w:p>
      <w:pPr>
        <w:kinsoku/>
        <w:overflowPunct/>
        <w:topLinePunct w:val="0"/>
        <w:bidi w:val="0"/>
        <w:spacing w:line="480" w:lineRule="exact"/>
        <w:outlineLvl w:val="9"/>
        <w:rPr>
          <w:rFonts w:hAnsi="宋体"/>
          <w:b/>
          <w:color w:val="auto"/>
          <w:sz w:val="21"/>
          <w:szCs w:val="20"/>
        </w:rPr>
      </w:pPr>
      <w:r>
        <w:rPr>
          <w:rFonts w:hint="eastAsia" w:hAnsi="宋体"/>
          <w:b/>
          <w:color w:val="auto"/>
          <w:sz w:val="21"/>
          <w:szCs w:val="20"/>
        </w:rPr>
        <w:t>附表3.</w:t>
      </w:r>
      <w:r>
        <w:rPr>
          <w:rFonts w:hint="eastAsia" w:hAnsi="宋体"/>
          <w:b/>
          <w:color w:val="auto"/>
          <w:sz w:val="21"/>
          <w:szCs w:val="20"/>
          <w:lang w:val="en-US" w:eastAsia="zh-CN"/>
        </w:rPr>
        <w:t>3</w:t>
      </w:r>
      <w:r>
        <w:rPr>
          <w:rFonts w:hint="eastAsia" w:hAnsi="宋体"/>
          <w:b/>
          <w:color w:val="auto"/>
          <w:sz w:val="21"/>
          <w:szCs w:val="20"/>
        </w:rPr>
        <w:t xml:space="preserve"> 采购人配合的条件（如有）</w:t>
      </w:r>
    </w:p>
    <w:p>
      <w:pPr>
        <w:kinsoku/>
        <w:overflowPunct/>
        <w:topLinePunct w:val="0"/>
        <w:bidi w:val="0"/>
        <w:spacing w:line="480" w:lineRule="exact"/>
        <w:jc w:val="center"/>
        <w:outlineLvl w:val="9"/>
        <w:rPr>
          <w:rFonts w:hAnsi="宋体"/>
          <w:b/>
          <w:bCs/>
          <w:color w:val="auto"/>
          <w:sz w:val="28"/>
        </w:rPr>
      </w:pPr>
      <w:r>
        <w:rPr>
          <w:rFonts w:hint="eastAsia" w:hAnsi="宋体"/>
          <w:b/>
          <w:bCs/>
          <w:color w:val="auto"/>
          <w:sz w:val="28"/>
        </w:rPr>
        <w:t xml:space="preserve"> 采购人配合的条件</w:t>
      </w:r>
    </w:p>
    <w:p>
      <w:pPr>
        <w:kinsoku/>
        <w:overflowPunct/>
        <w:topLinePunct w:val="0"/>
        <w:bidi w:val="0"/>
        <w:spacing w:line="480" w:lineRule="exact"/>
        <w:ind w:firstLine="403"/>
        <w:outlineLvl w:val="9"/>
        <w:rPr>
          <w:rFonts w:hAnsi="宋体"/>
          <w:color w:val="auto"/>
          <w:sz w:val="21"/>
          <w:szCs w:val="21"/>
        </w:rPr>
      </w:pPr>
      <w:r>
        <w:rPr>
          <w:rFonts w:hint="eastAsia" w:hAnsi="宋体"/>
          <w:color w:val="auto"/>
          <w:sz w:val="21"/>
          <w:szCs w:val="21"/>
        </w:rPr>
        <w:t>为配合本项目计划进度时间表所进行的各阶段工作，</w:t>
      </w:r>
      <w:r>
        <w:rPr>
          <w:rFonts w:hint="eastAsia" w:hAnsi="宋体"/>
          <w:color w:val="auto"/>
          <w:sz w:val="21"/>
          <w:szCs w:val="21"/>
          <w:lang w:eastAsia="zh-CN"/>
        </w:rPr>
        <w:t>响应供应商</w:t>
      </w:r>
      <w:r>
        <w:rPr>
          <w:rFonts w:hint="eastAsia" w:hAnsi="宋体"/>
          <w:color w:val="auto"/>
          <w:sz w:val="21"/>
          <w:szCs w:val="21"/>
        </w:rPr>
        <w:t>必须列明需要采购人配合的工作内容和具体要求。</w:t>
      </w:r>
    </w:p>
    <w:p>
      <w:pPr>
        <w:kinsoku/>
        <w:overflowPunct/>
        <w:topLinePunct w:val="0"/>
        <w:bidi w:val="0"/>
        <w:spacing w:line="480" w:lineRule="exact"/>
        <w:ind w:firstLine="403"/>
        <w:outlineLvl w:val="9"/>
        <w:rPr>
          <w:rFonts w:hAnsi="宋体"/>
          <w:color w:val="auto"/>
          <w:sz w:val="21"/>
          <w:szCs w:val="21"/>
        </w:rPr>
      </w:pPr>
    </w:p>
    <w:bookmarkEnd w:id="77"/>
    <w:bookmarkEnd w:id="78"/>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pacing w:line="480" w:lineRule="exact"/>
        <w:ind w:firstLine="403"/>
        <w:outlineLvl w:val="9"/>
        <w:rPr>
          <w:rFonts w:hAnsi="宋体"/>
          <w:color w:val="auto"/>
          <w:sz w:val="21"/>
          <w:szCs w:val="21"/>
        </w:rPr>
      </w:pPr>
    </w:p>
    <w:p>
      <w:pPr>
        <w:kinsoku/>
        <w:overflowPunct/>
        <w:topLinePunct w:val="0"/>
        <w:bidi w:val="0"/>
        <w:spacing w:after="120" w:line="480" w:lineRule="exact"/>
        <w:outlineLvl w:val="9"/>
        <w:rPr>
          <w:rFonts w:hAnsi="宋体"/>
          <w:b/>
          <w:color w:val="auto"/>
          <w:sz w:val="21"/>
          <w:szCs w:val="20"/>
        </w:rPr>
      </w:pPr>
      <w:bookmarkStart w:id="81" w:name="_Hlt10567911"/>
      <w:bookmarkEnd w:id="81"/>
      <w:bookmarkStart w:id="82" w:name="_Toc382926913"/>
      <w:bookmarkStart w:id="83" w:name="_Toc382840861"/>
      <w:r>
        <w:rPr>
          <w:rFonts w:hint="eastAsia" w:hAnsi="宋体"/>
          <w:b/>
          <w:color w:val="auto"/>
          <w:sz w:val="21"/>
          <w:szCs w:val="20"/>
        </w:rPr>
        <w:t>附表3.</w:t>
      </w:r>
      <w:r>
        <w:rPr>
          <w:rFonts w:hint="eastAsia" w:hAnsi="宋体"/>
          <w:b/>
          <w:color w:val="auto"/>
          <w:sz w:val="21"/>
          <w:szCs w:val="20"/>
          <w:lang w:val="en-US" w:eastAsia="zh-CN"/>
        </w:rPr>
        <w:t>4</w:t>
      </w:r>
      <w:r>
        <w:rPr>
          <w:rFonts w:hint="eastAsia" w:hAnsi="宋体"/>
          <w:b/>
          <w:color w:val="auto"/>
          <w:sz w:val="21"/>
          <w:szCs w:val="20"/>
        </w:rPr>
        <w:t xml:space="preserve"> 技术规格偏离表格式</w:t>
      </w:r>
    </w:p>
    <w:p>
      <w:pPr>
        <w:kinsoku/>
        <w:overflowPunct/>
        <w:topLinePunct w:val="0"/>
        <w:bidi w:val="0"/>
        <w:spacing w:line="360" w:lineRule="auto"/>
        <w:jc w:val="center"/>
        <w:outlineLvl w:val="9"/>
        <w:rPr>
          <w:rFonts w:hAnsi="宋体"/>
          <w:b/>
          <w:bCs w:val="0"/>
          <w:color w:val="auto"/>
          <w:sz w:val="28"/>
          <w:szCs w:val="28"/>
        </w:rPr>
      </w:pPr>
      <w:r>
        <w:rPr>
          <w:rFonts w:hint="eastAsia" w:hAnsi="宋体"/>
          <w:b/>
          <w:bCs w:val="0"/>
          <w:color w:val="auto"/>
          <w:sz w:val="28"/>
          <w:szCs w:val="28"/>
        </w:rPr>
        <w:t>技术规格偏离表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03"/>
        <w:textAlignment w:val="auto"/>
        <w:outlineLvl w:val="9"/>
        <w:rPr>
          <w:rFonts w:hint="eastAsia" w:hAnsi="宋体"/>
          <w:color w:val="auto"/>
          <w:sz w:val="21"/>
          <w:szCs w:val="21"/>
        </w:rPr>
      </w:pPr>
      <w:r>
        <w:rPr>
          <w:rFonts w:hint="eastAsia" w:hAnsi="宋体"/>
          <w:color w:val="auto"/>
          <w:sz w:val="21"/>
          <w:szCs w:val="21"/>
        </w:rPr>
        <w:t>项目名称：</w:t>
      </w:r>
      <w:r>
        <w:rPr>
          <w:rFonts w:hint="eastAsia" w:hAnsi="宋体"/>
          <w:color w:val="auto"/>
          <w:sz w:val="21"/>
          <w:szCs w:val="21"/>
          <w:lang w:eastAsia="zh-CN"/>
        </w:rPr>
        <w:t>洗衣房洗涤用品采购项目（第二次）</w:t>
      </w:r>
      <w:r>
        <w:rPr>
          <w:rFonts w:hint="eastAsia" w:hAnsi="宋体"/>
          <w:color w:val="auto"/>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03"/>
        <w:textAlignment w:val="auto"/>
        <w:outlineLvl w:val="9"/>
        <w:rPr>
          <w:rFonts w:hint="eastAsia" w:hAnsi="宋体"/>
          <w:color w:val="auto"/>
          <w:sz w:val="21"/>
          <w:szCs w:val="21"/>
        </w:rPr>
      </w:pPr>
      <w:r>
        <w:rPr>
          <w:rFonts w:hint="eastAsia" w:hAnsi="宋体"/>
          <w:color w:val="auto"/>
          <w:sz w:val="21"/>
          <w:szCs w:val="21"/>
        </w:rPr>
        <w:t>项目编号：</w:t>
      </w:r>
      <w:r>
        <w:rPr>
          <w:rFonts w:hint="eastAsia" w:hAnsi="宋体"/>
          <w:color w:val="auto"/>
          <w:sz w:val="21"/>
          <w:szCs w:val="21"/>
          <w:lang w:eastAsia="zh-CN"/>
        </w:rPr>
        <w:t>NFQYCG2023002</w:t>
      </w:r>
      <w:r>
        <w:rPr>
          <w:rFonts w:hint="eastAsia" w:hAnsi="宋体"/>
          <w:color w:val="auto"/>
          <w:sz w:val="21"/>
          <w:szCs w:val="21"/>
        </w:rPr>
        <w:t xml:space="preserve">  </w:t>
      </w:r>
    </w:p>
    <w:tbl>
      <w:tblPr>
        <w:tblStyle w:val="21"/>
        <w:tblW w:w="9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659"/>
        <w:gridCol w:w="2501"/>
        <w:gridCol w:w="127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233" w:type="dxa"/>
            <w:vAlign w:val="center"/>
          </w:tcPr>
          <w:p>
            <w:pPr>
              <w:kinsoku/>
              <w:overflowPunct/>
              <w:topLinePunct w:val="0"/>
              <w:bidi w:val="0"/>
              <w:spacing w:line="240" w:lineRule="exact"/>
              <w:jc w:val="center"/>
              <w:outlineLvl w:val="9"/>
              <w:rPr>
                <w:rFonts w:hAnsi="宋体"/>
                <w:color w:val="auto"/>
                <w:sz w:val="21"/>
                <w:szCs w:val="21"/>
              </w:rPr>
            </w:pPr>
            <w:r>
              <w:rPr>
                <w:rFonts w:hint="eastAsia" w:hAnsi="宋体"/>
                <w:color w:val="auto"/>
                <w:sz w:val="21"/>
                <w:szCs w:val="21"/>
              </w:rPr>
              <w:t>招标/谈判文件条目号</w:t>
            </w:r>
          </w:p>
        </w:tc>
        <w:tc>
          <w:tcPr>
            <w:tcW w:w="2659" w:type="dxa"/>
            <w:vAlign w:val="center"/>
          </w:tcPr>
          <w:p>
            <w:pPr>
              <w:kinsoku/>
              <w:overflowPunct/>
              <w:topLinePunct w:val="0"/>
              <w:bidi w:val="0"/>
              <w:spacing w:line="240" w:lineRule="exact"/>
              <w:jc w:val="center"/>
              <w:outlineLvl w:val="9"/>
              <w:rPr>
                <w:rFonts w:hAnsi="宋体"/>
                <w:color w:val="auto"/>
                <w:sz w:val="21"/>
                <w:szCs w:val="21"/>
              </w:rPr>
            </w:pPr>
            <w:r>
              <w:rPr>
                <w:rFonts w:hint="eastAsia" w:hAnsi="宋体"/>
                <w:color w:val="auto"/>
                <w:sz w:val="21"/>
                <w:szCs w:val="21"/>
              </w:rPr>
              <w:t>招标/谈判要求</w:t>
            </w:r>
          </w:p>
        </w:tc>
        <w:tc>
          <w:tcPr>
            <w:tcW w:w="2501" w:type="dxa"/>
            <w:vAlign w:val="center"/>
          </w:tcPr>
          <w:p>
            <w:pPr>
              <w:kinsoku/>
              <w:overflowPunct/>
              <w:topLinePunct w:val="0"/>
              <w:bidi w:val="0"/>
              <w:spacing w:line="240" w:lineRule="exact"/>
              <w:jc w:val="center"/>
              <w:outlineLvl w:val="9"/>
              <w:rPr>
                <w:rFonts w:hAnsi="宋体"/>
                <w:color w:val="auto"/>
                <w:sz w:val="21"/>
                <w:szCs w:val="21"/>
              </w:rPr>
            </w:pPr>
            <w:r>
              <w:rPr>
                <w:rFonts w:hint="eastAsia" w:hAnsi="宋体"/>
                <w:color w:val="auto"/>
                <w:sz w:val="21"/>
                <w:szCs w:val="21"/>
              </w:rPr>
              <w:t>投标/响应规格</w:t>
            </w:r>
          </w:p>
        </w:tc>
        <w:tc>
          <w:tcPr>
            <w:tcW w:w="1271" w:type="dxa"/>
            <w:vAlign w:val="center"/>
          </w:tcPr>
          <w:p>
            <w:pPr>
              <w:kinsoku/>
              <w:overflowPunct/>
              <w:topLinePunct w:val="0"/>
              <w:bidi w:val="0"/>
              <w:spacing w:line="240" w:lineRule="exact"/>
              <w:jc w:val="center"/>
              <w:outlineLvl w:val="9"/>
              <w:rPr>
                <w:rFonts w:hAnsi="宋体"/>
                <w:color w:val="auto"/>
                <w:sz w:val="21"/>
                <w:szCs w:val="21"/>
              </w:rPr>
            </w:pPr>
            <w:r>
              <w:rPr>
                <w:rFonts w:hint="eastAsia" w:hAnsi="宋体"/>
                <w:color w:val="auto"/>
                <w:sz w:val="21"/>
                <w:szCs w:val="21"/>
              </w:rPr>
              <w:t>偏离情况</w:t>
            </w:r>
          </w:p>
        </w:tc>
        <w:tc>
          <w:tcPr>
            <w:tcW w:w="1260" w:type="dxa"/>
            <w:vAlign w:val="center"/>
          </w:tcPr>
          <w:p>
            <w:pPr>
              <w:kinsoku/>
              <w:overflowPunct/>
              <w:topLinePunct w:val="0"/>
              <w:bidi w:val="0"/>
              <w:spacing w:line="240" w:lineRule="exact"/>
              <w:jc w:val="center"/>
              <w:outlineLvl w:val="9"/>
              <w:rPr>
                <w:rFonts w:hAnsi="宋体"/>
                <w:color w:val="auto"/>
                <w:sz w:val="21"/>
                <w:szCs w:val="21"/>
              </w:rPr>
            </w:pPr>
            <w:r>
              <w:rPr>
                <w:rFonts w:hint="eastAsia" w:hAnsi="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tcPr>
          <w:p>
            <w:pPr>
              <w:kinsoku/>
              <w:overflowPunct/>
              <w:topLinePunct w:val="0"/>
              <w:bidi w:val="0"/>
              <w:spacing w:line="360" w:lineRule="auto"/>
              <w:outlineLvl w:val="9"/>
              <w:rPr>
                <w:rFonts w:hAnsi="宋体"/>
                <w:color w:val="auto"/>
                <w:sz w:val="21"/>
                <w:szCs w:val="21"/>
              </w:rPr>
            </w:pPr>
          </w:p>
        </w:tc>
        <w:tc>
          <w:tcPr>
            <w:tcW w:w="2659" w:type="dxa"/>
          </w:tcPr>
          <w:p>
            <w:pPr>
              <w:kinsoku/>
              <w:overflowPunct/>
              <w:topLinePunct w:val="0"/>
              <w:bidi w:val="0"/>
              <w:spacing w:line="360" w:lineRule="auto"/>
              <w:outlineLvl w:val="9"/>
              <w:rPr>
                <w:rFonts w:hAnsi="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vAlign w:val="center"/>
          </w:tcPr>
          <w:p>
            <w:pPr>
              <w:kinsoku/>
              <w:overflowPunct/>
              <w:topLinePunct w:val="0"/>
              <w:bidi w:val="0"/>
              <w:outlineLvl w:val="9"/>
              <w:rPr>
                <w:rFonts w:hAnsi="宋体" w:cs="宋体"/>
                <w:color w:val="auto"/>
                <w:sz w:val="21"/>
                <w:szCs w:val="21"/>
              </w:rPr>
            </w:pPr>
          </w:p>
        </w:tc>
        <w:tc>
          <w:tcPr>
            <w:tcW w:w="2659" w:type="dxa"/>
            <w:vAlign w:val="center"/>
          </w:tcPr>
          <w:p>
            <w:pPr>
              <w:kinsoku/>
              <w:overflowPunct/>
              <w:topLinePunct w:val="0"/>
              <w:bidi w:val="0"/>
              <w:outlineLvl w:val="9"/>
              <w:rPr>
                <w:rFonts w:hAnsi="宋体" w:cs="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tcPr>
          <w:p>
            <w:pPr>
              <w:kinsoku/>
              <w:overflowPunct/>
              <w:topLinePunct w:val="0"/>
              <w:bidi w:val="0"/>
              <w:spacing w:line="360" w:lineRule="auto"/>
              <w:outlineLvl w:val="9"/>
              <w:rPr>
                <w:rFonts w:hAnsi="宋体"/>
                <w:color w:val="auto"/>
                <w:sz w:val="21"/>
                <w:szCs w:val="21"/>
              </w:rPr>
            </w:pPr>
          </w:p>
        </w:tc>
        <w:tc>
          <w:tcPr>
            <w:tcW w:w="2659" w:type="dxa"/>
          </w:tcPr>
          <w:p>
            <w:pPr>
              <w:kinsoku/>
              <w:overflowPunct/>
              <w:topLinePunct w:val="0"/>
              <w:bidi w:val="0"/>
              <w:spacing w:line="360" w:lineRule="auto"/>
              <w:outlineLvl w:val="9"/>
              <w:rPr>
                <w:rFonts w:hAnsi="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tcPr>
          <w:p>
            <w:pPr>
              <w:kinsoku/>
              <w:overflowPunct/>
              <w:topLinePunct w:val="0"/>
              <w:bidi w:val="0"/>
              <w:spacing w:line="360" w:lineRule="auto"/>
              <w:outlineLvl w:val="9"/>
              <w:rPr>
                <w:rFonts w:hAnsi="宋体"/>
                <w:color w:val="auto"/>
                <w:sz w:val="21"/>
                <w:szCs w:val="21"/>
              </w:rPr>
            </w:pPr>
          </w:p>
        </w:tc>
        <w:tc>
          <w:tcPr>
            <w:tcW w:w="2659" w:type="dxa"/>
          </w:tcPr>
          <w:p>
            <w:pPr>
              <w:kinsoku/>
              <w:overflowPunct/>
              <w:topLinePunct w:val="0"/>
              <w:bidi w:val="0"/>
              <w:spacing w:line="360" w:lineRule="auto"/>
              <w:outlineLvl w:val="9"/>
              <w:rPr>
                <w:rFonts w:hAnsi="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tcPr>
          <w:p>
            <w:pPr>
              <w:kinsoku/>
              <w:overflowPunct/>
              <w:topLinePunct w:val="0"/>
              <w:bidi w:val="0"/>
              <w:spacing w:line="360" w:lineRule="auto"/>
              <w:outlineLvl w:val="9"/>
              <w:rPr>
                <w:rFonts w:hAnsi="宋体"/>
                <w:color w:val="auto"/>
                <w:sz w:val="21"/>
                <w:szCs w:val="21"/>
              </w:rPr>
            </w:pPr>
          </w:p>
        </w:tc>
        <w:tc>
          <w:tcPr>
            <w:tcW w:w="2659" w:type="dxa"/>
          </w:tcPr>
          <w:p>
            <w:pPr>
              <w:kinsoku/>
              <w:overflowPunct/>
              <w:topLinePunct w:val="0"/>
              <w:bidi w:val="0"/>
              <w:spacing w:line="360" w:lineRule="auto"/>
              <w:outlineLvl w:val="9"/>
              <w:rPr>
                <w:rFonts w:hAnsi="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tcPr>
          <w:p>
            <w:pPr>
              <w:kinsoku/>
              <w:overflowPunct/>
              <w:topLinePunct w:val="0"/>
              <w:bidi w:val="0"/>
              <w:spacing w:line="360" w:lineRule="auto"/>
              <w:outlineLvl w:val="9"/>
              <w:rPr>
                <w:rFonts w:hAnsi="宋体"/>
                <w:color w:val="auto"/>
                <w:sz w:val="21"/>
                <w:szCs w:val="21"/>
              </w:rPr>
            </w:pPr>
          </w:p>
        </w:tc>
        <w:tc>
          <w:tcPr>
            <w:tcW w:w="2659" w:type="dxa"/>
          </w:tcPr>
          <w:p>
            <w:pPr>
              <w:kinsoku/>
              <w:overflowPunct/>
              <w:topLinePunct w:val="0"/>
              <w:bidi w:val="0"/>
              <w:spacing w:line="360" w:lineRule="auto"/>
              <w:outlineLvl w:val="9"/>
              <w:rPr>
                <w:rFonts w:hAnsi="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33" w:type="dxa"/>
          </w:tcPr>
          <w:p>
            <w:pPr>
              <w:kinsoku/>
              <w:overflowPunct/>
              <w:topLinePunct w:val="0"/>
              <w:bidi w:val="0"/>
              <w:spacing w:line="360" w:lineRule="auto"/>
              <w:outlineLvl w:val="9"/>
              <w:rPr>
                <w:rFonts w:hAnsi="宋体"/>
                <w:color w:val="auto"/>
                <w:sz w:val="21"/>
                <w:szCs w:val="21"/>
              </w:rPr>
            </w:pPr>
          </w:p>
        </w:tc>
        <w:tc>
          <w:tcPr>
            <w:tcW w:w="2659" w:type="dxa"/>
          </w:tcPr>
          <w:p>
            <w:pPr>
              <w:kinsoku/>
              <w:overflowPunct/>
              <w:topLinePunct w:val="0"/>
              <w:bidi w:val="0"/>
              <w:spacing w:line="360" w:lineRule="auto"/>
              <w:outlineLvl w:val="9"/>
              <w:rPr>
                <w:rFonts w:hAnsi="宋体"/>
                <w:color w:val="auto"/>
                <w:sz w:val="21"/>
                <w:szCs w:val="21"/>
              </w:rPr>
            </w:pPr>
          </w:p>
        </w:tc>
        <w:tc>
          <w:tcPr>
            <w:tcW w:w="2501" w:type="dxa"/>
          </w:tcPr>
          <w:p>
            <w:pPr>
              <w:kinsoku/>
              <w:overflowPunct/>
              <w:topLinePunct w:val="0"/>
              <w:bidi w:val="0"/>
              <w:spacing w:line="360" w:lineRule="auto"/>
              <w:outlineLvl w:val="9"/>
              <w:rPr>
                <w:rFonts w:hAnsi="宋体"/>
                <w:color w:val="auto"/>
                <w:sz w:val="21"/>
                <w:szCs w:val="21"/>
              </w:rPr>
            </w:pPr>
          </w:p>
        </w:tc>
        <w:tc>
          <w:tcPr>
            <w:tcW w:w="1271" w:type="dxa"/>
          </w:tcPr>
          <w:p>
            <w:pPr>
              <w:kinsoku/>
              <w:overflowPunct/>
              <w:topLinePunct w:val="0"/>
              <w:bidi w:val="0"/>
              <w:spacing w:line="360" w:lineRule="auto"/>
              <w:outlineLvl w:val="9"/>
              <w:rPr>
                <w:rFonts w:hAnsi="宋体"/>
                <w:color w:val="auto"/>
                <w:sz w:val="21"/>
                <w:szCs w:val="21"/>
              </w:rPr>
            </w:pPr>
          </w:p>
        </w:tc>
        <w:tc>
          <w:tcPr>
            <w:tcW w:w="1260" w:type="dxa"/>
          </w:tcPr>
          <w:p>
            <w:pPr>
              <w:kinsoku/>
              <w:overflowPunct/>
              <w:topLinePunct w:val="0"/>
              <w:bidi w:val="0"/>
              <w:spacing w:line="360" w:lineRule="auto"/>
              <w:outlineLvl w:val="9"/>
              <w:rPr>
                <w:rFonts w:hAnsi="宋体"/>
                <w:color w:val="auto"/>
                <w:sz w:val="21"/>
                <w:szCs w:val="21"/>
              </w:rPr>
            </w:pPr>
          </w:p>
        </w:tc>
      </w:tr>
    </w:tbl>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outlineLvl w:val="9"/>
        <w:rPr>
          <w:rFonts w:hAnsi="宋体"/>
          <w:color w:val="auto"/>
          <w:sz w:val="21"/>
          <w:szCs w:val="21"/>
        </w:rPr>
      </w:pPr>
      <w:r>
        <w:rPr>
          <w:rFonts w:hint="eastAsia" w:hAnsi="宋体"/>
          <w:color w:val="auto"/>
          <w:sz w:val="21"/>
          <w:szCs w:val="21"/>
        </w:rPr>
        <w:t>注： 1</w:t>
      </w:r>
      <w:r>
        <w:rPr>
          <w:rFonts w:hint="eastAsia" w:hAnsi="宋体"/>
          <w:color w:val="auto"/>
          <w:sz w:val="21"/>
          <w:szCs w:val="21"/>
          <w:lang w:val="en-US" w:eastAsia="zh-CN"/>
        </w:rPr>
        <w:t>.</w:t>
      </w:r>
      <w:r>
        <w:rPr>
          <w:rFonts w:hint="eastAsia" w:hAnsi="宋体"/>
          <w:color w:val="auto"/>
          <w:sz w:val="21"/>
          <w:szCs w:val="21"/>
          <w:u w:val="single"/>
        </w:rPr>
        <w:t>本表可对应谈判文件《用户需求书》条目号逐项填写，不得有任何遗漏，否则视为不响应招标规格要求；或针对与谈判文件《用户需求书》条目号上有偏离款项填写相应的填写，并注明除填写的款项有偏离以外，其他款项均响应谈判文件的要求。</w:t>
      </w:r>
      <w:r>
        <w:rPr>
          <w:rFonts w:hint="eastAsia" w:hAnsi="宋体"/>
          <w:color w:val="auto"/>
          <w:sz w:val="21"/>
          <w:szCs w:val="21"/>
        </w:rPr>
        <w:t>2</w:t>
      </w:r>
      <w:r>
        <w:rPr>
          <w:rFonts w:hint="eastAsia" w:hAnsi="宋体"/>
          <w:color w:val="auto"/>
          <w:sz w:val="21"/>
          <w:szCs w:val="21"/>
          <w:lang w:val="en-US" w:eastAsia="zh-CN"/>
        </w:rPr>
        <w:t>.</w:t>
      </w:r>
      <w:r>
        <w:rPr>
          <w:rFonts w:hint="eastAsia" w:hAnsi="宋体"/>
          <w:color w:val="auto"/>
          <w:sz w:val="21"/>
          <w:szCs w:val="21"/>
        </w:rPr>
        <w:t>如有偏离，应在“偏离情况”栏内注明“有”，并在“说明”栏内予以说明；如无偏离，应在“偏离情况”栏内注明“无”。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Ansi="宋体"/>
          <w:color w:val="auto"/>
          <w:sz w:val="21"/>
          <w:szCs w:val="21"/>
        </w:rPr>
      </w:pPr>
    </w:p>
    <w:p>
      <w:pPr>
        <w:kinsoku/>
        <w:overflowPunct/>
        <w:topLinePunct w:val="0"/>
        <w:bidi w:val="0"/>
        <w:snapToGrid w:val="0"/>
        <w:spacing w:line="300" w:lineRule="auto"/>
        <w:outlineLvl w:val="9"/>
        <w:rPr>
          <w:rFonts w:hAnsi="宋体"/>
          <w:color w:val="auto"/>
          <w:sz w:val="21"/>
          <w:szCs w:val="21"/>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响应供应商法定代表人（或法定代表人授权代表）签名（签章）：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响应供应商名称（加盖法人公章）：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sectPr>
          <w:footerReference r:id="rId6" w:type="default"/>
          <w:pgSz w:w="11907" w:h="16840"/>
          <w:pgMar w:top="1440" w:right="1417" w:bottom="1440" w:left="1474" w:header="794" w:footer="437" w:gutter="0"/>
          <w:pgNumType w:fmt="decimal"/>
          <w:cols w:space="720" w:num="1"/>
          <w:docGrid w:linePitch="285" w:charSpace="0"/>
        </w:sectPr>
      </w:pPr>
    </w:p>
    <w:p>
      <w:pPr>
        <w:kinsoku/>
        <w:overflowPunct/>
        <w:topLinePunct w:val="0"/>
        <w:bidi w:val="0"/>
        <w:jc w:val="center"/>
        <w:outlineLvl w:val="9"/>
        <w:rPr>
          <w:rFonts w:hAnsi="宋体"/>
          <w:b/>
          <w:color w:val="auto"/>
          <w:sz w:val="28"/>
          <w:szCs w:val="28"/>
        </w:rPr>
      </w:pPr>
      <w:r>
        <w:rPr>
          <w:rFonts w:hint="eastAsia" w:hAnsi="宋体"/>
          <w:b/>
          <w:color w:val="auto"/>
          <w:sz w:val="28"/>
          <w:szCs w:val="28"/>
          <w:lang w:eastAsia="zh-CN"/>
        </w:rPr>
        <w:br w:type="textWrapping"/>
      </w:r>
      <w:r>
        <w:rPr>
          <w:rFonts w:hint="eastAsia" w:hAnsi="宋体"/>
          <w:b/>
          <w:color w:val="auto"/>
          <w:sz w:val="28"/>
          <w:szCs w:val="28"/>
          <w:lang w:eastAsia="zh-CN"/>
        </w:rPr>
        <w:t>第四节</w:t>
      </w:r>
      <w:r>
        <w:rPr>
          <w:rFonts w:hint="eastAsia" w:hAnsi="宋体"/>
          <w:b/>
          <w:color w:val="auto"/>
          <w:sz w:val="28"/>
          <w:szCs w:val="28"/>
          <w:lang w:val="en-US" w:eastAsia="zh-CN"/>
        </w:rPr>
        <w:t xml:space="preserve">  </w:t>
      </w:r>
      <w:r>
        <w:rPr>
          <w:rFonts w:hint="eastAsia" w:hAnsi="宋体"/>
          <w:b/>
          <w:color w:val="auto"/>
          <w:sz w:val="28"/>
          <w:szCs w:val="28"/>
        </w:rPr>
        <w:t>经济文件</w:t>
      </w:r>
      <w:bookmarkStart w:id="84" w:name="_Hlt10519799"/>
      <w:bookmarkEnd w:id="84"/>
      <w:bookmarkStart w:id="85" w:name="_Toc10548699"/>
      <w:r>
        <w:rPr>
          <w:rFonts w:hint="eastAsia" w:hAnsi="宋体"/>
          <w:b/>
          <w:color w:val="auto"/>
          <w:sz w:val="28"/>
          <w:szCs w:val="28"/>
        </w:rPr>
        <w:t>格式</w:t>
      </w:r>
      <w:bookmarkEnd w:id="82"/>
      <w:bookmarkEnd w:id="83"/>
      <w:bookmarkEnd w:id="85"/>
      <w:bookmarkStart w:id="86" w:name="_Hlt10456397"/>
      <w:bookmarkEnd w:id="86"/>
    </w:p>
    <w:p>
      <w:pPr>
        <w:kinsoku/>
        <w:overflowPunct/>
        <w:topLinePunct w:val="0"/>
        <w:bidi w:val="0"/>
        <w:spacing w:after="120" w:line="480" w:lineRule="exact"/>
        <w:outlineLvl w:val="9"/>
        <w:rPr>
          <w:rFonts w:hAnsi="宋体"/>
          <w:b/>
          <w:color w:val="auto"/>
          <w:sz w:val="21"/>
          <w:szCs w:val="20"/>
        </w:rPr>
      </w:pPr>
      <w:bookmarkStart w:id="87" w:name="_Toc382840862"/>
      <w:bookmarkStart w:id="88" w:name="_Toc382926914"/>
      <w:r>
        <w:rPr>
          <w:rFonts w:hint="eastAsia" w:hAnsi="宋体"/>
          <w:b/>
          <w:color w:val="auto"/>
          <w:sz w:val="21"/>
          <w:szCs w:val="20"/>
        </w:rPr>
        <w:t>附表4</w:t>
      </w:r>
      <w:r>
        <w:rPr>
          <w:rFonts w:hAnsi="宋体"/>
          <w:b/>
          <w:color w:val="auto"/>
          <w:sz w:val="21"/>
          <w:szCs w:val="20"/>
        </w:rPr>
        <w:t>.</w:t>
      </w:r>
      <w:r>
        <w:rPr>
          <w:rFonts w:hint="eastAsia" w:hAnsi="宋体"/>
          <w:b/>
          <w:color w:val="auto"/>
          <w:sz w:val="21"/>
          <w:szCs w:val="20"/>
        </w:rPr>
        <w:t>1  报价总表格式</w:t>
      </w:r>
      <w:bookmarkEnd w:id="87"/>
      <w:bookmarkEnd w:id="88"/>
    </w:p>
    <w:p>
      <w:pPr>
        <w:pStyle w:val="30"/>
        <w:kinsoku/>
        <w:overflowPunct/>
        <w:topLinePunct w:val="0"/>
        <w:bidi w:val="0"/>
        <w:spacing w:line="480" w:lineRule="exact"/>
        <w:jc w:val="center"/>
        <w:outlineLvl w:val="9"/>
        <w:rPr>
          <w:rFonts w:hAnsi="宋体"/>
          <w:b/>
          <w:color w:val="auto"/>
          <w:kern w:val="0"/>
          <w:sz w:val="28"/>
          <w:szCs w:val="28"/>
        </w:rPr>
      </w:pPr>
    </w:p>
    <w:p>
      <w:pPr>
        <w:jc w:val="center"/>
        <w:rPr>
          <w:rFonts w:hint="eastAsia" w:hAnsi="宋体"/>
          <w:b/>
          <w:color w:val="auto"/>
          <w:kern w:val="0"/>
          <w:sz w:val="28"/>
          <w:szCs w:val="28"/>
        </w:rPr>
      </w:pPr>
      <w:r>
        <w:rPr>
          <w:rFonts w:hint="eastAsia" w:hAnsi="宋体"/>
          <w:b/>
          <w:color w:val="auto"/>
          <w:kern w:val="0"/>
          <w:sz w:val="28"/>
          <w:szCs w:val="28"/>
        </w:rPr>
        <w:t>首轮报价总表</w:t>
      </w:r>
    </w:p>
    <w:p>
      <w:pPr>
        <w:pStyle w:val="30"/>
        <w:kinsoku/>
        <w:overflowPunct/>
        <w:topLinePunct w:val="0"/>
        <w:bidi w:val="0"/>
        <w:spacing w:line="480" w:lineRule="exact"/>
        <w:jc w:val="center"/>
        <w:outlineLvl w:val="9"/>
        <w:rPr>
          <w:rFonts w:hAnsi="宋体"/>
          <w:color w:val="auto"/>
          <w:sz w:val="24"/>
        </w:rPr>
      </w:pPr>
      <w:r>
        <w:rPr>
          <w:rFonts w:hint="eastAsia" w:hAnsi="宋体"/>
          <w:color w:val="auto"/>
        </w:rPr>
        <w:t>[货币单位：人民币元]</w:t>
      </w:r>
    </w:p>
    <w:p>
      <w:pPr>
        <w:ind w:firstLine="480"/>
        <w:rPr>
          <w:rFonts w:hint="eastAsia" w:hAnsi="宋体"/>
          <w:color w:val="auto"/>
          <w:lang w:eastAsia="zh-CN"/>
        </w:rPr>
      </w:pPr>
    </w:p>
    <w:p>
      <w:pPr>
        <w:ind w:firstLine="480"/>
        <w:rPr>
          <w:rFonts w:hint="eastAsia" w:hAnsi="宋体"/>
          <w:color w:val="auto"/>
          <w:lang w:eastAsia="zh-CN"/>
        </w:rPr>
      </w:pPr>
      <w:r>
        <w:rPr>
          <w:rFonts w:hint="eastAsia" w:hAnsi="宋体"/>
          <w:color w:val="auto"/>
          <w:lang w:eastAsia="zh-CN"/>
        </w:rPr>
        <w:t>项目名称：洗衣房洗涤用品采购项目（第二次）</w:t>
      </w:r>
    </w:p>
    <w:p>
      <w:pPr>
        <w:ind w:firstLine="480"/>
        <w:rPr>
          <w:rFonts w:hint="eastAsia" w:hAnsi="宋体"/>
          <w:color w:val="auto"/>
        </w:rPr>
      </w:pPr>
      <w:r>
        <w:rPr>
          <w:rFonts w:hint="eastAsia" w:hAnsi="宋体"/>
          <w:color w:val="auto"/>
          <w:lang w:eastAsia="zh-CN"/>
        </w:rPr>
        <w:t xml:space="preserve">项目编号：NFQYCG2023002       </w:t>
      </w:r>
      <w:r>
        <w:rPr>
          <w:rFonts w:hint="eastAsia" w:hAnsi="宋体"/>
          <w:color w:val="auto"/>
        </w:rPr>
        <w:t xml:space="preserve">  </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41"/>
        <w:gridCol w:w="2661"/>
        <w:gridCol w:w="1213"/>
        <w:gridCol w:w="1693"/>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rPr>
        <w:tc>
          <w:tcPr>
            <w:tcW w:w="675" w:type="dxa"/>
            <w:vMerge w:val="restart"/>
            <w:vAlign w:val="center"/>
          </w:tcPr>
          <w:p>
            <w:pPr>
              <w:pStyle w:val="30"/>
              <w:kinsoku/>
              <w:overflowPunct/>
              <w:topLinePunct w:val="0"/>
              <w:bidi w:val="0"/>
              <w:spacing w:line="300" w:lineRule="auto"/>
              <w:jc w:val="center"/>
              <w:outlineLvl w:val="9"/>
              <w:rPr>
                <w:rFonts w:hAnsi="宋体"/>
                <w:color w:val="auto"/>
                <w:kern w:val="0"/>
                <w:szCs w:val="21"/>
              </w:rPr>
            </w:pPr>
          </w:p>
          <w:p>
            <w:pPr>
              <w:pStyle w:val="30"/>
              <w:kinsoku/>
              <w:overflowPunct/>
              <w:topLinePunct w:val="0"/>
              <w:bidi w:val="0"/>
              <w:spacing w:line="300" w:lineRule="auto"/>
              <w:jc w:val="center"/>
              <w:outlineLvl w:val="9"/>
              <w:rPr>
                <w:rFonts w:hAnsi="宋体"/>
                <w:color w:val="auto"/>
                <w:kern w:val="0"/>
                <w:szCs w:val="21"/>
              </w:rPr>
            </w:pPr>
            <w:r>
              <w:rPr>
                <w:rFonts w:hint="eastAsia" w:hAnsi="宋体"/>
                <w:color w:val="auto"/>
                <w:kern w:val="0"/>
                <w:szCs w:val="21"/>
              </w:rPr>
              <w:t>投</w:t>
            </w:r>
          </w:p>
          <w:p>
            <w:pPr>
              <w:pStyle w:val="30"/>
              <w:kinsoku/>
              <w:overflowPunct/>
              <w:topLinePunct w:val="0"/>
              <w:bidi w:val="0"/>
              <w:spacing w:line="300" w:lineRule="auto"/>
              <w:jc w:val="center"/>
              <w:outlineLvl w:val="9"/>
              <w:rPr>
                <w:rFonts w:hAnsi="宋体"/>
                <w:color w:val="auto"/>
                <w:kern w:val="0"/>
                <w:szCs w:val="21"/>
              </w:rPr>
            </w:pPr>
            <w:r>
              <w:rPr>
                <w:rFonts w:hint="eastAsia" w:hAnsi="宋体"/>
                <w:color w:val="auto"/>
                <w:kern w:val="0"/>
                <w:szCs w:val="21"/>
              </w:rPr>
              <w:t>标</w:t>
            </w:r>
          </w:p>
          <w:p>
            <w:pPr>
              <w:pStyle w:val="30"/>
              <w:kinsoku/>
              <w:overflowPunct/>
              <w:topLinePunct w:val="0"/>
              <w:bidi w:val="0"/>
              <w:spacing w:line="300" w:lineRule="auto"/>
              <w:jc w:val="center"/>
              <w:outlineLvl w:val="9"/>
              <w:rPr>
                <w:rFonts w:hAnsi="宋体"/>
                <w:color w:val="auto"/>
                <w:kern w:val="0"/>
                <w:szCs w:val="21"/>
              </w:rPr>
            </w:pPr>
            <w:r>
              <w:rPr>
                <w:rFonts w:hint="eastAsia" w:hAnsi="宋体"/>
                <w:color w:val="auto"/>
                <w:kern w:val="0"/>
                <w:szCs w:val="21"/>
              </w:rPr>
              <w:t>分类</w:t>
            </w:r>
          </w:p>
          <w:p>
            <w:pPr>
              <w:pStyle w:val="30"/>
              <w:kinsoku/>
              <w:overflowPunct/>
              <w:topLinePunct w:val="0"/>
              <w:bidi w:val="0"/>
              <w:spacing w:line="300" w:lineRule="auto"/>
              <w:jc w:val="center"/>
              <w:outlineLvl w:val="9"/>
              <w:rPr>
                <w:rFonts w:hAnsi="宋体"/>
                <w:color w:val="auto"/>
                <w:kern w:val="0"/>
                <w:szCs w:val="21"/>
              </w:rPr>
            </w:pPr>
            <w:r>
              <w:rPr>
                <w:rFonts w:hint="eastAsia" w:hAnsi="宋体"/>
                <w:color w:val="auto"/>
                <w:kern w:val="0"/>
                <w:szCs w:val="21"/>
              </w:rPr>
              <w:t>报</w:t>
            </w:r>
          </w:p>
          <w:p>
            <w:pPr>
              <w:pStyle w:val="30"/>
              <w:kinsoku/>
              <w:overflowPunct/>
              <w:topLinePunct w:val="0"/>
              <w:bidi w:val="0"/>
              <w:spacing w:line="300" w:lineRule="auto"/>
              <w:jc w:val="center"/>
              <w:outlineLvl w:val="9"/>
              <w:rPr>
                <w:rFonts w:hAnsi="宋体"/>
                <w:color w:val="auto"/>
                <w:kern w:val="0"/>
                <w:szCs w:val="21"/>
              </w:rPr>
            </w:pPr>
            <w:r>
              <w:rPr>
                <w:rFonts w:hint="eastAsia" w:hAnsi="宋体"/>
                <w:color w:val="auto"/>
                <w:kern w:val="0"/>
                <w:szCs w:val="21"/>
              </w:rPr>
              <w:t>价</w:t>
            </w:r>
          </w:p>
        </w:tc>
        <w:tc>
          <w:tcPr>
            <w:tcW w:w="741" w:type="dxa"/>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序号</w:t>
            </w:r>
          </w:p>
        </w:tc>
        <w:tc>
          <w:tcPr>
            <w:tcW w:w="2661" w:type="dxa"/>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分类内容</w:t>
            </w:r>
          </w:p>
        </w:tc>
        <w:tc>
          <w:tcPr>
            <w:tcW w:w="1213" w:type="dxa"/>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单位数量</w:t>
            </w:r>
          </w:p>
        </w:tc>
        <w:tc>
          <w:tcPr>
            <w:tcW w:w="1693" w:type="dxa"/>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小写报价</w:t>
            </w:r>
          </w:p>
        </w:tc>
        <w:tc>
          <w:tcPr>
            <w:tcW w:w="2197" w:type="dxa"/>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大写报价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675" w:type="dxa"/>
            <w:vMerge w:val="continue"/>
          </w:tcPr>
          <w:p>
            <w:pPr>
              <w:pStyle w:val="30"/>
              <w:kinsoku/>
              <w:overflowPunct/>
              <w:topLinePunct w:val="0"/>
              <w:bidi w:val="0"/>
              <w:spacing w:line="300" w:lineRule="auto"/>
              <w:outlineLvl w:val="9"/>
              <w:rPr>
                <w:rFonts w:hAnsi="宋体"/>
                <w:color w:val="auto"/>
                <w:kern w:val="0"/>
                <w:szCs w:val="21"/>
              </w:rPr>
            </w:pPr>
          </w:p>
        </w:tc>
        <w:tc>
          <w:tcPr>
            <w:tcW w:w="741" w:type="dxa"/>
            <w:tcBorders>
              <w:bottom w:val="single" w:color="auto" w:sz="4" w:space="0"/>
            </w:tcBorders>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1</w:t>
            </w:r>
          </w:p>
        </w:tc>
        <w:tc>
          <w:tcPr>
            <w:tcW w:w="2661" w:type="dxa"/>
            <w:tcBorders>
              <w:bottom w:val="single" w:color="auto" w:sz="4" w:space="0"/>
            </w:tcBorders>
            <w:vAlign w:val="center"/>
          </w:tcPr>
          <w:p>
            <w:pPr>
              <w:widowControl/>
              <w:kinsoku/>
              <w:overflowPunct/>
              <w:topLinePunct w:val="0"/>
              <w:bidi w:val="0"/>
              <w:spacing w:line="320" w:lineRule="atLeast"/>
              <w:jc w:val="both"/>
              <w:textAlignment w:val="bottom"/>
              <w:outlineLvl w:val="9"/>
              <w:rPr>
                <w:rFonts w:hAnsi="宋体"/>
                <w:color w:val="auto"/>
                <w:sz w:val="21"/>
                <w:szCs w:val="21"/>
              </w:rPr>
            </w:pPr>
          </w:p>
        </w:tc>
        <w:tc>
          <w:tcPr>
            <w:tcW w:w="1213" w:type="dxa"/>
            <w:tcBorders>
              <w:bottom w:val="single" w:color="auto" w:sz="4" w:space="0"/>
            </w:tcBorders>
            <w:vAlign w:val="center"/>
          </w:tcPr>
          <w:p>
            <w:pPr>
              <w:kinsoku/>
              <w:overflowPunct/>
              <w:topLinePunct w:val="0"/>
              <w:bidi w:val="0"/>
              <w:jc w:val="center"/>
              <w:outlineLvl w:val="9"/>
              <w:rPr>
                <w:rFonts w:hAnsi="宋体"/>
                <w:color w:val="auto"/>
                <w:sz w:val="21"/>
                <w:szCs w:val="21"/>
              </w:rPr>
            </w:pPr>
          </w:p>
        </w:tc>
        <w:tc>
          <w:tcPr>
            <w:tcW w:w="1693" w:type="dxa"/>
            <w:tcBorders>
              <w:bottom w:val="single" w:color="auto" w:sz="4" w:space="0"/>
            </w:tcBorders>
            <w:vAlign w:val="center"/>
          </w:tcPr>
          <w:p>
            <w:pPr>
              <w:pStyle w:val="30"/>
              <w:kinsoku/>
              <w:overflowPunct/>
              <w:topLinePunct w:val="0"/>
              <w:bidi w:val="0"/>
              <w:outlineLvl w:val="9"/>
              <w:rPr>
                <w:rFonts w:hAnsi="宋体"/>
                <w:color w:val="auto"/>
                <w:kern w:val="0"/>
                <w:szCs w:val="21"/>
              </w:rPr>
            </w:pPr>
          </w:p>
        </w:tc>
        <w:tc>
          <w:tcPr>
            <w:tcW w:w="2197" w:type="dxa"/>
            <w:tcBorders>
              <w:bottom w:val="single" w:color="auto" w:sz="4" w:space="0"/>
            </w:tcBorders>
            <w:vAlign w:val="center"/>
          </w:tcPr>
          <w:p>
            <w:pPr>
              <w:pStyle w:val="30"/>
              <w:kinsoku/>
              <w:overflowPunct/>
              <w:topLinePunct w:val="0"/>
              <w:bidi w:val="0"/>
              <w:outlineLvl w:val="9"/>
              <w:rPr>
                <w:rFonts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trPr>
        <w:tc>
          <w:tcPr>
            <w:tcW w:w="5290" w:type="dxa"/>
            <w:gridSpan w:val="4"/>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lang w:eastAsia="zh-CN"/>
              </w:rPr>
              <w:t>响应</w:t>
            </w:r>
            <w:r>
              <w:rPr>
                <w:rFonts w:hint="eastAsia" w:hAnsi="宋体"/>
                <w:color w:val="auto"/>
                <w:kern w:val="0"/>
                <w:szCs w:val="21"/>
              </w:rPr>
              <w:t>报价总计</w:t>
            </w:r>
          </w:p>
        </w:tc>
        <w:tc>
          <w:tcPr>
            <w:tcW w:w="3890" w:type="dxa"/>
            <w:gridSpan w:val="2"/>
          </w:tcPr>
          <w:p>
            <w:pPr>
              <w:pStyle w:val="30"/>
              <w:kinsoku/>
              <w:overflowPunct/>
              <w:topLinePunct w:val="0"/>
              <w:bidi w:val="0"/>
              <w:outlineLvl w:val="9"/>
              <w:rPr>
                <w:rFonts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5290" w:type="dxa"/>
            <w:gridSpan w:val="4"/>
            <w:vAlign w:val="center"/>
          </w:tcPr>
          <w:p>
            <w:pPr>
              <w:pStyle w:val="30"/>
              <w:kinsoku/>
              <w:overflowPunct/>
              <w:topLinePunct w:val="0"/>
              <w:bidi w:val="0"/>
              <w:jc w:val="center"/>
              <w:outlineLvl w:val="9"/>
              <w:rPr>
                <w:rFonts w:hAnsi="宋体"/>
                <w:color w:val="auto"/>
                <w:kern w:val="0"/>
                <w:szCs w:val="21"/>
              </w:rPr>
            </w:pPr>
            <w:r>
              <w:rPr>
                <w:rFonts w:hint="eastAsia" w:hAnsi="宋体"/>
                <w:color w:val="auto"/>
                <w:kern w:val="0"/>
                <w:szCs w:val="21"/>
              </w:rPr>
              <w:t>其他说明</w:t>
            </w:r>
          </w:p>
        </w:tc>
        <w:tc>
          <w:tcPr>
            <w:tcW w:w="3890" w:type="dxa"/>
            <w:gridSpan w:val="2"/>
          </w:tcPr>
          <w:p>
            <w:pPr>
              <w:pStyle w:val="30"/>
              <w:kinsoku/>
              <w:overflowPunct/>
              <w:topLinePunct w:val="0"/>
              <w:bidi w:val="0"/>
              <w:outlineLvl w:val="9"/>
              <w:rPr>
                <w:rFonts w:hAnsi="宋体"/>
                <w:color w:val="auto"/>
                <w:kern w:val="0"/>
                <w:szCs w:val="21"/>
              </w:rPr>
            </w:pPr>
          </w:p>
        </w:tc>
      </w:tr>
    </w:tbl>
    <w:p>
      <w:pPr>
        <w:kinsoku/>
        <w:overflowPunct/>
        <w:topLinePunct w:val="0"/>
        <w:bidi w:val="0"/>
        <w:snapToGrid w:val="0"/>
        <w:spacing w:line="300" w:lineRule="auto"/>
        <w:outlineLvl w:val="9"/>
        <w:rPr>
          <w:rFonts w:hAnsi="宋体"/>
          <w:bCs/>
          <w:color w:val="auto"/>
          <w:kern w:val="2"/>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outlineLvl w:val="9"/>
        <w:rPr>
          <w:rFonts w:hint="eastAsia" w:hAnsi="宋体"/>
          <w:color w:val="auto"/>
          <w:sz w:val="24"/>
          <w:szCs w:val="24"/>
        </w:rPr>
      </w:pPr>
      <w:r>
        <w:rPr>
          <w:rFonts w:hint="eastAsia" w:hAnsi="宋体"/>
          <w:color w:val="auto"/>
          <w:sz w:val="24"/>
          <w:szCs w:val="24"/>
        </w:rPr>
        <w:t>注：1.此表的总计指所有需采购人支付的本次</w:t>
      </w:r>
      <w:r>
        <w:rPr>
          <w:rFonts w:hint="eastAsia" w:hAnsi="宋体"/>
          <w:color w:val="auto"/>
          <w:sz w:val="24"/>
          <w:szCs w:val="24"/>
          <w:lang w:eastAsia="zh-CN"/>
        </w:rPr>
        <w:t>采购</w:t>
      </w:r>
      <w:r>
        <w:rPr>
          <w:rFonts w:hint="eastAsia" w:hAnsi="宋体"/>
          <w:color w:val="auto"/>
          <w:sz w:val="24"/>
          <w:szCs w:val="24"/>
        </w:rPr>
        <w:t>标的物的金额总数即投标</w:t>
      </w:r>
      <w:r>
        <w:rPr>
          <w:rFonts w:hint="eastAsia" w:hAnsi="宋体"/>
          <w:color w:val="auto"/>
          <w:sz w:val="24"/>
          <w:szCs w:val="24"/>
          <w:lang w:eastAsia="zh-CN"/>
        </w:rPr>
        <w:t>响应</w:t>
      </w:r>
      <w:r>
        <w:rPr>
          <w:rFonts w:hint="eastAsia" w:hAnsi="宋体"/>
          <w:color w:val="auto"/>
          <w:sz w:val="24"/>
          <w:szCs w:val="24"/>
        </w:rPr>
        <w:t>总报价</w:t>
      </w:r>
      <w:r>
        <w:rPr>
          <w:rFonts w:hint="eastAsia" w:hAnsi="宋体"/>
          <w:color w:val="auto"/>
          <w:sz w:val="24"/>
          <w:szCs w:val="24"/>
          <w:lang w:eastAsia="zh-CN"/>
        </w:rPr>
        <w:t>；</w:t>
      </w:r>
      <w:r>
        <w:rPr>
          <w:rFonts w:hint="eastAsia" w:hAnsi="宋体"/>
          <w:color w:val="auto"/>
          <w:sz w:val="24"/>
          <w:szCs w:val="24"/>
        </w:rPr>
        <w:t xml:space="preserve"> 2.当谈判小组要求</w:t>
      </w:r>
      <w:r>
        <w:rPr>
          <w:rFonts w:hint="eastAsia" w:hAnsi="宋体"/>
          <w:color w:val="auto"/>
          <w:sz w:val="24"/>
          <w:szCs w:val="24"/>
          <w:lang w:eastAsia="zh-CN"/>
        </w:rPr>
        <w:t>响应供应商</w:t>
      </w:r>
      <w:r>
        <w:rPr>
          <w:rFonts w:hint="eastAsia" w:hAnsi="宋体"/>
          <w:color w:val="auto"/>
          <w:sz w:val="24"/>
          <w:szCs w:val="24"/>
        </w:rPr>
        <w:t>进行二次报价时，</w:t>
      </w:r>
      <w:r>
        <w:rPr>
          <w:rFonts w:hint="eastAsia" w:hAnsi="宋体"/>
          <w:color w:val="auto"/>
          <w:sz w:val="24"/>
          <w:szCs w:val="24"/>
          <w:lang w:eastAsia="zh-CN"/>
        </w:rPr>
        <w:t>响应供应商</w:t>
      </w:r>
      <w:r>
        <w:rPr>
          <w:rFonts w:hint="eastAsia" w:hAnsi="宋体"/>
          <w:color w:val="auto"/>
          <w:sz w:val="24"/>
          <w:szCs w:val="24"/>
        </w:rPr>
        <w:t>在采购代理机构提供的二次报价表上填报报价总价，并列明发生金额变动的分项内容</w:t>
      </w:r>
      <w:r>
        <w:rPr>
          <w:rFonts w:hint="eastAsia" w:hAnsi="宋体"/>
          <w:color w:val="auto"/>
          <w:sz w:val="24"/>
          <w:szCs w:val="24"/>
          <w:lang w:eastAsia="zh-CN"/>
        </w:rPr>
        <w:t>；</w:t>
      </w:r>
      <w:r>
        <w:rPr>
          <w:rFonts w:hint="eastAsia" w:hAnsi="宋体"/>
          <w:color w:val="auto"/>
          <w:sz w:val="24"/>
          <w:szCs w:val="24"/>
          <w:lang w:val="en-US" w:eastAsia="zh-CN"/>
        </w:rPr>
        <w:t>3.</w:t>
      </w:r>
      <w:r>
        <w:rPr>
          <w:rFonts w:hint="eastAsia" w:hAnsi="宋体"/>
          <w:color w:val="auto"/>
          <w:sz w:val="24"/>
          <w:szCs w:val="24"/>
          <w:lang w:eastAsia="zh-CN"/>
        </w:rPr>
        <w:t>未专门列明分项报价的调整变动说明，则该</w:t>
      </w:r>
      <w:r>
        <w:rPr>
          <w:rFonts w:hint="eastAsia" w:hAnsi="宋体"/>
          <w:color w:val="auto"/>
          <w:sz w:val="24"/>
          <w:szCs w:val="24"/>
        </w:rPr>
        <w:t>分项报价按首次分项报价*（最终总报价/首次总报价）相应调整</w:t>
      </w:r>
      <w:r>
        <w:rPr>
          <w:rFonts w:hint="eastAsia" w:hAnsi="宋体"/>
          <w:color w:val="auto"/>
          <w:sz w:val="24"/>
          <w:szCs w:val="24"/>
          <w:lang w:eastAsia="zh-CN"/>
        </w:rPr>
        <w:t>；</w:t>
      </w:r>
      <w:r>
        <w:rPr>
          <w:rFonts w:hint="eastAsia" w:hAnsi="宋体"/>
          <w:color w:val="auto"/>
          <w:sz w:val="24"/>
          <w:szCs w:val="24"/>
          <w:lang w:val="en-US" w:eastAsia="zh-CN"/>
        </w:rPr>
        <w:t>4</w:t>
      </w:r>
      <w:r>
        <w:rPr>
          <w:rFonts w:hint="eastAsia" w:hAnsi="宋体"/>
          <w:color w:val="auto"/>
          <w:sz w:val="24"/>
          <w:szCs w:val="24"/>
        </w:rPr>
        <w:t>.本表一式二份，一份随报价信封一起提交，一份编入</w:t>
      </w:r>
      <w:r>
        <w:rPr>
          <w:rFonts w:hint="eastAsia" w:hAnsi="宋体"/>
          <w:color w:val="auto"/>
          <w:sz w:val="24"/>
          <w:szCs w:val="24"/>
          <w:lang w:eastAsia="zh-CN"/>
        </w:rPr>
        <w:t>响应文件</w:t>
      </w:r>
      <w:r>
        <w:rPr>
          <w:rFonts w:hint="eastAsia" w:hAnsi="宋体"/>
          <w:color w:val="auto"/>
          <w:sz w:val="24"/>
          <w:szCs w:val="24"/>
        </w:rPr>
        <w:t>（经济部分）。</w:t>
      </w:r>
    </w:p>
    <w:p>
      <w:pPr>
        <w:pStyle w:val="15"/>
        <w:kinsoku/>
        <w:overflowPunct/>
        <w:topLinePunct w:val="0"/>
        <w:bidi w:val="0"/>
        <w:outlineLvl w:val="9"/>
        <w:rPr>
          <w:color w:val="auto"/>
        </w:rPr>
      </w:pPr>
    </w:p>
    <w:p>
      <w:pPr>
        <w:kinsoku/>
        <w:overflowPunct/>
        <w:topLinePunct w:val="0"/>
        <w:bidi w:val="0"/>
        <w:snapToGrid w:val="0"/>
        <w:spacing w:line="300" w:lineRule="auto"/>
        <w:outlineLvl w:val="9"/>
        <w:rPr>
          <w:rFonts w:hAnsi="宋体"/>
          <w:bCs/>
          <w:color w:val="auto"/>
          <w:kern w:val="2"/>
          <w:sz w:val="21"/>
          <w:szCs w:val="21"/>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p>
    <w:p>
      <w:pPr>
        <w:pStyle w:val="30"/>
        <w:kinsoku/>
        <w:overflowPunct/>
        <w:topLinePunct w:val="0"/>
        <w:bidi w:val="0"/>
        <w:spacing w:line="480" w:lineRule="exact"/>
        <w:outlineLvl w:val="9"/>
        <w:rPr>
          <w:rFonts w:hAnsi="宋体"/>
          <w:bCs/>
          <w:color w:val="auto"/>
          <w:szCs w:val="21"/>
        </w:rPr>
      </w:pPr>
    </w:p>
    <w:p>
      <w:pPr>
        <w:pStyle w:val="30"/>
        <w:kinsoku/>
        <w:overflowPunct/>
        <w:topLinePunct w:val="0"/>
        <w:bidi w:val="0"/>
        <w:spacing w:line="480" w:lineRule="exact"/>
        <w:outlineLvl w:val="9"/>
        <w:rPr>
          <w:rFonts w:hAnsi="宋体"/>
          <w:bCs/>
          <w:color w:val="auto"/>
          <w:szCs w:val="21"/>
        </w:rPr>
      </w:pPr>
    </w:p>
    <w:p>
      <w:pPr>
        <w:pStyle w:val="30"/>
        <w:kinsoku/>
        <w:overflowPunct/>
        <w:topLinePunct w:val="0"/>
        <w:bidi w:val="0"/>
        <w:spacing w:line="480" w:lineRule="exact"/>
        <w:outlineLvl w:val="9"/>
        <w:rPr>
          <w:rFonts w:hAnsi="宋体"/>
          <w:bCs/>
          <w:color w:val="auto"/>
          <w:szCs w:val="21"/>
        </w:rPr>
      </w:pPr>
    </w:p>
    <w:p>
      <w:pPr>
        <w:kinsoku/>
        <w:overflowPunct/>
        <w:topLinePunct w:val="0"/>
        <w:bidi w:val="0"/>
        <w:spacing w:after="120" w:line="480" w:lineRule="exact"/>
        <w:outlineLvl w:val="9"/>
        <w:rPr>
          <w:rFonts w:hAnsi="宋体"/>
          <w:b/>
          <w:color w:val="auto"/>
          <w:sz w:val="21"/>
          <w:szCs w:val="20"/>
        </w:rPr>
      </w:pPr>
      <w:bookmarkStart w:id="89" w:name="_Toc382840863"/>
      <w:bookmarkStart w:id="90" w:name="_Toc382926915"/>
      <w:r>
        <w:rPr>
          <w:rFonts w:hint="eastAsia" w:hAnsi="宋体"/>
          <w:b/>
          <w:color w:val="auto"/>
          <w:sz w:val="21"/>
          <w:szCs w:val="20"/>
        </w:rPr>
        <w:br w:type="page"/>
      </w:r>
      <w:r>
        <w:rPr>
          <w:rFonts w:hint="eastAsia" w:hAnsi="宋体"/>
          <w:b/>
          <w:color w:val="auto"/>
          <w:sz w:val="21"/>
          <w:szCs w:val="20"/>
        </w:rPr>
        <w:t>附表4</w:t>
      </w:r>
      <w:r>
        <w:rPr>
          <w:rFonts w:hAnsi="宋体"/>
          <w:b/>
          <w:color w:val="auto"/>
          <w:sz w:val="21"/>
          <w:szCs w:val="20"/>
        </w:rPr>
        <w:t>.</w:t>
      </w:r>
      <w:r>
        <w:rPr>
          <w:rFonts w:hint="eastAsia" w:hAnsi="宋体"/>
          <w:b/>
          <w:color w:val="auto"/>
          <w:sz w:val="21"/>
          <w:szCs w:val="20"/>
        </w:rPr>
        <w:t>2  分类报价明细表格式</w:t>
      </w:r>
      <w:bookmarkEnd w:id="89"/>
      <w:bookmarkEnd w:id="90"/>
    </w:p>
    <w:p>
      <w:pPr>
        <w:pStyle w:val="30"/>
        <w:kinsoku/>
        <w:overflowPunct/>
        <w:topLinePunct w:val="0"/>
        <w:bidi w:val="0"/>
        <w:spacing w:line="480" w:lineRule="exact"/>
        <w:jc w:val="center"/>
        <w:outlineLvl w:val="9"/>
        <w:rPr>
          <w:rFonts w:hAnsi="宋体"/>
          <w:b/>
          <w:color w:val="auto"/>
          <w:kern w:val="0"/>
          <w:sz w:val="32"/>
          <w:szCs w:val="32"/>
        </w:rPr>
      </w:pPr>
    </w:p>
    <w:p>
      <w:pPr>
        <w:pStyle w:val="30"/>
        <w:kinsoku/>
        <w:overflowPunct/>
        <w:topLinePunct w:val="0"/>
        <w:bidi w:val="0"/>
        <w:spacing w:line="360" w:lineRule="auto"/>
        <w:jc w:val="center"/>
        <w:outlineLvl w:val="9"/>
        <w:rPr>
          <w:rFonts w:hAnsi="宋体"/>
          <w:b/>
          <w:color w:val="auto"/>
          <w:sz w:val="28"/>
        </w:rPr>
      </w:pPr>
      <w:r>
        <w:rPr>
          <w:rFonts w:hint="eastAsia" w:hAnsi="宋体"/>
          <w:b/>
          <w:color w:val="auto"/>
          <w:sz w:val="28"/>
        </w:rPr>
        <w:t>分类报价明细表</w:t>
      </w:r>
    </w:p>
    <w:p>
      <w:pPr>
        <w:ind w:firstLine="480"/>
        <w:rPr>
          <w:rFonts w:hint="eastAsia" w:hAnsi="宋体"/>
          <w:color w:val="auto"/>
        </w:rPr>
      </w:pPr>
      <w:r>
        <w:rPr>
          <w:rFonts w:hint="eastAsia" w:hAnsi="宋体"/>
          <w:color w:val="auto"/>
        </w:rPr>
        <w:t>项目名称：</w:t>
      </w:r>
      <w:r>
        <w:rPr>
          <w:rFonts w:hint="eastAsia" w:hAnsi="宋体"/>
          <w:color w:val="auto"/>
          <w:lang w:eastAsia="zh-CN"/>
        </w:rPr>
        <w:t>洗衣房洗涤用品采购项目（第二次）</w:t>
      </w:r>
    </w:p>
    <w:p>
      <w:pPr>
        <w:ind w:firstLine="480"/>
        <w:rPr>
          <w:color w:val="auto"/>
        </w:rPr>
      </w:pPr>
      <w:r>
        <w:rPr>
          <w:rFonts w:hint="eastAsia" w:hAnsi="宋体"/>
          <w:color w:val="auto"/>
        </w:rPr>
        <w:t>项目编号：</w:t>
      </w:r>
      <w:r>
        <w:rPr>
          <w:rFonts w:hint="eastAsia" w:hAnsi="宋体"/>
          <w:color w:val="auto"/>
          <w:lang w:eastAsia="zh-CN"/>
        </w:rPr>
        <w:t>NFQYCG2023002</w:t>
      </w:r>
      <w:r>
        <w:rPr>
          <w:rFonts w:hint="eastAsia" w:hAnsi="宋体"/>
          <w:color w:val="auto"/>
        </w:rPr>
        <w:t xml:space="preserve"> </w:t>
      </w:r>
    </w:p>
    <w:tbl>
      <w:tblPr>
        <w:tblStyle w:val="21"/>
        <w:tblW w:w="8075"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2"/>
        <w:gridCol w:w="962"/>
        <w:gridCol w:w="749"/>
        <w:gridCol w:w="831"/>
        <w:gridCol w:w="831"/>
        <w:gridCol w:w="1443"/>
        <w:gridCol w:w="810"/>
        <w:gridCol w:w="750"/>
        <w:gridCol w:w="9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jc w:val="center"/>
        </w:trPr>
        <w:tc>
          <w:tcPr>
            <w:tcW w:w="782" w:type="dxa"/>
          </w:tcPr>
          <w:p>
            <w:pPr>
              <w:rPr>
                <w:color w:val="auto"/>
              </w:rPr>
            </w:pPr>
            <w:r>
              <w:rPr>
                <w:color w:val="auto"/>
              </w:rPr>
              <w:t>序号</w:t>
            </w:r>
          </w:p>
        </w:tc>
        <w:tc>
          <w:tcPr>
            <w:tcW w:w="962" w:type="dxa"/>
          </w:tcPr>
          <w:p>
            <w:pPr>
              <w:rPr>
                <w:color w:val="auto"/>
              </w:rPr>
            </w:pPr>
            <w:r>
              <w:rPr>
                <w:color w:val="auto"/>
              </w:rPr>
              <w:t>货物名称</w:t>
            </w:r>
          </w:p>
        </w:tc>
        <w:tc>
          <w:tcPr>
            <w:tcW w:w="749" w:type="dxa"/>
          </w:tcPr>
          <w:p>
            <w:pPr>
              <w:rPr>
                <w:color w:val="auto"/>
              </w:rPr>
            </w:pPr>
            <w:r>
              <w:rPr>
                <w:color w:val="auto"/>
              </w:rPr>
              <w:t>规格型号</w:t>
            </w:r>
          </w:p>
        </w:tc>
        <w:tc>
          <w:tcPr>
            <w:tcW w:w="831" w:type="dxa"/>
          </w:tcPr>
          <w:p>
            <w:pPr>
              <w:rPr>
                <w:color w:val="auto"/>
              </w:rPr>
            </w:pPr>
            <w:r>
              <w:rPr>
                <w:color w:val="auto"/>
              </w:rPr>
              <w:t>品牌</w:t>
            </w:r>
          </w:p>
        </w:tc>
        <w:tc>
          <w:tcPr>
            <w:tcW w:w="831" w:type="dxa"/>
          </w:tcPr>
          <w:p>
            <w:pPr>
              <w:rPr>
                <w:color w:val="auto"/>
              </w:rPr>
            </w:pPr>
            <w:r>
              <w:rPr>
                <w:color w:val="auto"/>
              </w:rPr>
              <w:t>产地</w:t>
            </w:r>
          </w:p>
        </w:tc>
        <w:tc>
          <w:tcPr>
            <w:tcW w:w="1443" w:type="dxa"/>
          </w:tcPr>
          <w:p>
            <w:pPr>
              <w:rPr>
                <w:color w:val="auto"/>
              </w:rPr>
            </w:pPr>
            <w:r>
              <w:rPr>
                <w:color w:val="auto"/>
              </w:rPr>
              <w:t>制造商名称</w:t>
            </w:r>
          </w:p>
        </w:tc>
        <w:tc>
          <w:tcPr>
            <w:tcW w:w="810" w:type="dxa"/>
          </w:tcPr>
          <w:p>
            <w:pPr>
              <w:rPr>
                <w:color w:val="auto"/>
              </w:rPr>
            </w:pPr>
            <w:r>
              <w:rPr>
                <w:color w:val="auto"/>
              </w:rPr>
              <w:t>单价</w:t>
            </w:r>
          </w:p>
        </w:tc>
        <w:tc>
          <w:tcPr>
            <w:tcW w:w="750" w:type="dxa"/>
          </w:tcPr>
          <w:p>
            <w:pPr>
              <w:rPr>
                <w:color w:val="auto"/>
              </w:rPr>
            </w:pPr>
            <w:r>
              <w:rPr>
                <w:rFonts w:hint="eastAsia"/>
                <w:color w:val="auto"/>
                <w:lang w:val="en-US" w:eastAsia="zh-CN"/>
              </w:rPr>
              <w:t>预计</w:t>
            </w:r>
            <w:r>
              <w:rPr>
                <w:color w:val="auto"/>
              </w:rPr>
              <w:t>数量</w:t>
            </w:r>
          </w:p>
        </w:tc>
        <w:tc>
          <w:tcPr>
            <w:tcW w:w="917" w:type="dxa"/>
          </w:tcPr>
          <w:p>
            <w:pPr>
              <w:rPr>
                <w:color w:val="auto"/>
              </w:rPr>
            </w:pPr>
            <w:r>
              <w:rPr>
                <w:color w:val="auto"/>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36" w:hRule="atLeast"/>
          <w:jc w:val="center"/>
        </w:trPr>
        <w:tc>
          <w:tcPr>
            <w:tcW w:w="782" w:type="dxa"/>
          </w:tcPr>
          <w:p>
            <w:pPr>
              <w:rPr>
                <w:rFonts w:hint="eastAsia" w:eastAsia="宋体"/>
                <w:color w:val="auto"/>
                <w:lang w:val="en-US" w:eastAsia="zh-CN"/>
              </w:rPr>
            </w:pPr>
            <w:r>
              <w:rPr>
                <w:rFonts w:hint="eastAsia"/>
                <w:color w:val="auto"/>
                <w:lang w:val="en-US" w:eastAsia="zh-CN"/>
              </w:rPr>
              <w:t>1</w:t>
            </w:r>
          </w:p>
        </w:tc>
        <w:tc>
          <w:tcPr>
            <w:tcW w:w="96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color w:val="auto"/>
              </w:rPr>
            </w:pPr>
            <w:r>
              <w:rPr>
                <w:rFonts w:hint="eastAsia"/>
                <w:b/>
                <w:bCs/>
                <w:color w:val="auto"/>
                <w:sz w:val="24"/>
                <w:szCs w:val="24"/>
                <w:vertAlign w:val="baseline"/>
                <w:lang w:val="en-US" w:eastAsia="zh-CN"/>
              </w:rPr>
              <w:t>漂白消毒剂</w:t>
            </w:r>
          </w:p>
        </w:tc>
        <w:tc>
          <w:tcPr>
            <w:tcW w:w="749" w:type="dxa"/>
          </w:tcPr>
          <w:p>
            <w:pPr>
              <w:rPr>
                <w:color w:val="auto"/>
              </w:rPr>
            </w:pPr>
          </w:p>
        </w:tc>
        <w:tc>
          <w:tcPr>
            <w:tcW w:w="831" w:type="dxa"/>
          </w:tcPr>
          <w:p>
            <w:pPr>
              <w:rPr>
                <w:color w:val="auto"/>
              </w:rPr>
            </w:pPr>
          </w:p>
        </w:tc>
        <w:tc>
          <w:tcPr>
            <w:tcW w:w="831" w:type="dxa"/>
          </w:tcPr>
          <w:p>
            <w:pPr>
              <w:rPr>
                <w:color w:val="auto"/>
              </w:rPr>
            </w:pPr>
          </w:p>
        </w:tc>
        <w:tc>
          <w:tcPr>
            <w:tcW w:w="1443" w:type="dxa"/>
          </w:tcPr>
          <w:p>
            <w:pPr>
              <w:rPr>
                <w:color w:val="auto"/>
              </w:rPr>
            </w:pPr>
          </w:p>
        </w:tc>
        <w:tc>
          <w:tcPr>
            <w:tcW w:w="810" w:type="dxa"/>
          </w:tcPr>
          <w:p>
            <w:pPr>
              <w:rPr>
                <w:color w:val="auto"/>
              </w:rPr>
            </w:pPr>
          </w:p>
        </w:tc>
        <w:tc>
          <w:tcPr>
            <w:tcW w:w="750" w:type="dxa"/>
          </w:tcPr>
          <w:p>
            <w:pPr>
              <w:rPr>
                <w:color w:val="auto"/>
              </w:rPr>
            </w:pPr>
          </w:p>
        </w:tc>
        <w:tc>
          <w:tcPr>
            <w:tcW w:w="91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36" w:hRule="atLeast"/>
          <w:jc w:val="center"/>
        </w:trPr>
        <w:tc>
          <w:tcPr>
            <w:tcW w:w="782" w:type="dxa"/>
          </w:tcPr>
          <w:p>
            <w:pPr>
              <w:rPr>
                <w:rFonts w:hint="eastAsia" w:eastAsia="宋体"/>
                <w:color w:val="auto"/>
                <w:lang w:val="en-US" w:eastAsia="zh-CN"/>
              </w:rPr>
            </w:pPr>
            <w:r>
              <w:rPr>
                <w:rFonts w:hint="eastAsia"/>
                <w:color w:val="auto"/>
                <w:lang w:val="en-US" w:eastAsia="zh-CN"/>
              </w:rPr>
              <w:t>2</w:t>
            </w:r>
          </w:p>
        </w:tc>
        <w:tc>
          <w:tcPr>
            <w:tcW w:w="96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color w:val="auto"/>
              </w:rPr>
            </w:pPr>
            <w:r>
              <w:rPr>
                <w:rFonts w:hint="eastAsia"/>
                <w:b/>
                <w:bCs/>
                <w:color w:val="auto"/>
                <w:sz w:val="24"/>
                <w:szCs w:val="24"/>
                <w:vertAlign w:val="baseline"/>
                <w:lang w:val="en-US" w:eastAsia="zh-CN"/>
              </w:rPr>
              <w:t>洗衣液</w:t>
            </w:r>
          </w:p>
        </w:tc>
        <w:tc>
          <w:tcPr>
            <w:tcW w:w="749" w:type="dxa"/>
          </w:tcPr>
          <w:p>
            <w:pPr>
              <w:rPr>
                <w:color w:val="auto"/>
              </w:rPr>
            </w:pPr>
          </w:p>
        </w:tc>
        <w:tc>
          <w:tcPr>
            <w:tcW w:w="831" w:type="dxa"/>
          </w:tcPr>
          <w:p>
            <w:pPr>
              <w:rPr>
                <w:color w:val="auto"/>
              </w:rPr>
            </w:pPr>
          </w:p>
        </w:tc>
        <w:tc>
          <w:tcPr>
            <w:tcW w:w="831" w:type="dxa"/>
          </w:tcPr>
          <w:p>
            <w:pPr>
              <w:rPr>
                <w:color w:val="auto"/>
              </w:rPr>
            </w:pPr>
          </w:p>
        </w:tc>
        <w:tc>
          <w:tcPr>
            <w:tcW w:w="1443" w:type="dxa"/>
          </w:tcPr>
          <w:p>
            <w:pPr>
              <w:rPr>
                <w:color w:val="auto"/>
              </w:rPr>
            </w:pPr>
          </w:p>
        </w:tc>
        <w:tc>
          <w:tcPr>
            <w:tcW w:w="810" w:type="dxa"/>
          </w:tcPr>
          <w:p>
            <w:pPr>
              <w:rPr>
                <w:color w:val="auto"/>
              </w:rPr>
            </w:pPr>
          </w:p>
        </w:tc>
        <w:tc>
          <w:tcPr>
            <w:tcW w:w="750" w:type="dxa"/>
          </w:tcPr>
          <w:p>
            <w:pPr>
              <w:rPr>
                <w:color w:val="auto"/>
              </w:rPr>
            </w:pPr>
          </w:p>
        </w:tc>
        <w:tc>
          <w:tcPr>
            <w:tcW w:w="91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36" w:hRule="atLeast"/>
          <w:jc w:val="center"/>
        </w:trPr>
        <w:tc>
          <w:tcPr>
            <w:tcW w:w="782" w:type="dxa"/>
          </w:tcPr>
          <w:p>
            <w:pPr>
              <w:rPr>
                <w:rFonts w:hint="eastAsia" w:eastAsia="宋体"/>
                <w:color w:val="auto"/>
                <w:lang w:val="en-US" w:eastAsia="zh-CN"/>
              </w:rPr>
            </w:pPr>
            <w:r>
              <w:rPr>
                <w:rFonts w:hint="eastAsia"/>
                <w:color w:val="auto"/>
                <w:lang w:val="en-US" w:eastAsia="zh-CN"/>
              </w:rPr>
              <w:t>3</w:t>
            </w:r>
          </w:p>
        </w:tc>
        <w:tc>
          <w:tcPr>
            <w:tcW w:w="96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color w:val="auto"/>
              </w:rPr>
            </w:pPr>
            <w:r>
              <w:rPr>
                <w:rFonts w:hint="eastAsia"/>
                <w:b/>
                <w:bCs/>
                <w:color w:val="auto"/>
                <w:sz w:val="24"/>
                <w:szCs w:val="24"/>
                <w:vertAlign w:val="baseline"/>
                <w:lang w:val="en-US" w:eastAsia="zh-CN"/>
              </w:rPr>
              <w:t>衣领净</w:t>
            </w:r>
          </w:p>
        </w:tc>
        <w:tc>
          <w:tcPr>
            <w:tcW w:w="749" w:type="dxa"/>
          </w:tcPr>
          <w:p>
            <w:pPr>
              <w:rPr>
                <w:color w:val="auto"/>
              </w:rPr>
            </w:pPr>
          </w:p>
        </w:tc>
        <w:tc>
          <w:tcPr>
            <w:tcW w:w="831" w:type="dxa"/>
          </w:tcPr>
          <w:p>
            <w:pPr>
              <w:rPr>
                <w:color w:val="auto"/>
              </w:rPr>
            </w:pPr>
          </w:p>
        </w:tc>
        <w:tc>
          <w:tcPr>
            <w:tcW w:w="831" w:type="dxa"/>
          </w:tcPr>
          <w:p>
            <w:pPr>
              <w:rPr>
                <w:color w:val="auto"/>
              </w:rPr>
            </w:pPr>
          </w:p>
        </w:tc>
        <w:tc>
          <w:tcPr>
            <w:tcW w:w="1443" w:type="dxa"/>
          </w:tcPr>
          <w:p>
            <w:pPr>
              <w:rPr>
                <w:color w:val="auto"/>
              </w:rPr>
            </w:pPr>
          </w:p>
        </w:tc>
        <w:tc>
          <w:tcPr>
            <w:tcW w:w="810" w:type="dxa"/>
          </w:tcPr>
          <w:p>
            <w:pPr>
              <w:rPr>
                <w:color w:val="auto"/>
              </w:rPr>
            </w:pPr>
          </w:p>
        </w:tc>
        <w:tc>
          <w:tcPr>
            <w:tcW w:w="750" w:type="dxa"/>
          </w:tcPr>
          <w:p>
            <w:pPr>
              <w:rPr>
                <w:color w:val="auto"/>
              </w:rPr>
            </w:pPr>
          </w:p>
        </w:tc>
        <w:tc>
          <w:tcPr>
            <w:tcW w:w="91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36" w:hRule="atLeast"/>
          <w:jc w:val="center"/>
        </w:trPr>
        <w:tc>
          <w:tcPr>
            <w:tcW w:w="782" w:type="dxa"/>
          </w:tcPr>
          <w:p>
            <w:pPr>
              <w:rPr>
                <w:rFonts w:hint="eastAsia" w:eastAsia="宋体"/>
                <w:color w:val="auto"/>
                <w:lang w:val="en-US" w:eastAsia="zh-CN"/>
              </w:rPr>
            </w:pPr>
            <w:r>
              <w:rPr>
                <w:rFonts w:hint="eastAsia"/>
                <w:color w:val="auto"/>
                <w:lang w:val="en-US" w:eastAsia="zh-CN"/>
              </w:rPr>
              <w:t>4</w:t>
            </w:r>
          </w:p>
        </w:tc>
        <w:tc>
          <w:tcPr>
            <w:tcW w:w="96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color w:val="auto"/>
              </w:rPr>
            </w:pPr>
            <w:r>
              <w:rPr>
                <w:rFonts w:hint="eastAsia"/>
                <w:b/>
                <w:bCs/>
                <w:color w:val="auto"/>
                <w:sz w:val="24"/>
                <w:szCs w:val="24"/>
                <w:vertAlign w:val="baseline"/>
                <w:lang w:val="en-US" w:eastAsia="zh-CN"/>
              </w:rPr>
              <w:t>中和剂</w:t>
            </w:r>
          </w:p>
        </w:tc>
        <w:tc>
          <w:tcPr>
            <w:tcW w:w="749" w:type="dxa"/>
          </w:tcPr>
          <w:p>
            <w:pPr>
              <w:rPr>
                <w:color w:val="auto"/>
              </w:rPr>
            </w:pPr>
          </w:p>
        </w:tc>
        <w:tc>
          <w:tcPr>
            <w:tcW w:w="831" w:type="dxa"/>
          </w:tcPr>
          <w:p>
            <w:pPr>
              <w:rPr>
                <w:color w:val="auto"/>
              </w:rPr>
            </w:pPr>
          </w:p>
        </w:tc>
        <w:tc>
          <w:tcPr>
            <w:tcW w:w="831" w:type="dxa"/>
          </w:tcPr>
          <w:p>
            <w:pPr>
              <w:rPr>
                <w:color w:val="auto"/>
              </w:rPr>
            </w:pPr>
          </w:p>
        </w:tc>
        <w:tc>
          <w:tcPr>
            <w:tcW w:w="1443" w:type="dxa"/>
          </w:tcPr>
          <w:p>
            <w:pPr>
              <w:rPr>
                <w:color w:val="auto"/>
              </w:rPr>
            </w:pPr>
          </w:p>
        </w:tc>
        <w:tc>
          <w:tcPr>
            <w:tcW w:w="810" w:type="dxa"/>
          </w:tcPr>
          <w:p>
            <w:pPr>
              <w:rPr>
                <w:color w:val="auto"/>
              </w:rPr>
            </w:pPr>
          </w:p>
        </w:tc>
        <w:tc>
          <w:tcPr>
            <w:tcW w:w="750" w:type="dxa"/>
          </w:tcPr>
          <w:p>
            <w:pPr>
              <w:rPr>
                <w:color w:val="auto"/>
              </w:rPr>
            </w:pPr>
          </w:p>
        </w:tc>
        <w:tc>
          <w:tcPr>
            <w:tcW w:w="91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36" w:hRule="atLeast"/>
          <w:jc w:val="center"/>
        </w:trPr>
        <w:tc>
          <w:tcPr>
            <w:tcW w:w="782" w:type="dxa"/>
          </w:tcPr>
          <w:p>
            <w:pPr>
              <w:rPr>
                <w:rFonts w:hint="eastAsia" w:eastAsia="宋体"/>
                <w:color w:val="auto"/>
                <w:lang w:val="en-US" w:eastAsia="zh-CN"/>
              </w:rPr>
            </w:pPr>
            <w:r>
              <w:rPr>
                <w:rFonts w:hint="eastAsia"/>
                <w:color w:val="auto"/>
                <w:lang w:val="en-US" w:eastAsia="zh-CN"/>
              </w:rPr>
              <w:t>5</w:t>
            </w:r>
          </w:p>
        </w:tc>
        <w:tc>
          <w:tcPr>
            <w:tcW w:w="96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color w:val="auto"/>
              </w:rPr>
            </w:pPr>
            <w:r>
              <w:rPr>
                <w:rFonts w:hint="eastAsia" w:ascii="宋体" w:hAnsi="宋体" w:eastAsia="宋体" w:cs="宋体"/>
                <w:b/>
                <w:bCs/>
                <w:i w:val="0"/>
                <w:iCs w:val="0"/>
                <w:color w:val="auto"/>
                <w:kern w:val="0"/>
                <w:sz w:val="24"/>
                <w:szCs w:val="24"/>
                <w:u w:val="none"/>
                <w:lang w:val="en-US" w:eastAsia="zh-CN" w:bidi="ar"/>
              </w:rPr>
              <w:t>乳化剂</w:t>
            </w:r>
          </w:p>
        </w:tc>
        <w:tc>
          <w:tcPr>
            <w:tcW w:w="749" w:type="dxa"/>
          </w:tcPr>
          <w:p>
            <w:pPr>
              <w:rPr>
                <w:color w:val="auto"/>
              </w:rPr>
            </w:pPr>
          </w:p>
        </w:tc>
        <w:tc>
          <w:tcPr>
            <w:tcW w:w="831" w:type="dxa"/>
          </w:tcPr>
          <w:p>
            <w:pPr>
              <w:rPr>
                <w:color w:val="auto"/>
              </w:rPr>
            </w:pPr>
          </w:p>
        </w:tc>
        <w:tc>
          <w:tcPr>
            <w:tcW w:w="831" w:type="dxa"/>
          </w:tcPr>
          <w:p>
            <w:pPr>
              <w:rPr>
                <w:color w:val="auto"/>
              </w:rPr>
            </w:pPr>
          </w:p>
        </w:tc>
        <w:tc>
          <w:tcPr>
            <w:tcW w:w="1443" w:type="dxa"/>
          </w:tcPr>
          <w:p>
            <w:pPr>
              <w:rPr>
                <w:color w:val="auto"/>
              </w:rPr>
            </w:pPr>
          </w:p>
        </w:tc>
        <w:tc>
          <w:tcPr>
            <w:tcW w:w="810" w:type="dxa"/>
          </w:tcPr>
          <w:p>
            <w:pPr>
              <w:rPr>
                <w:color w:val="auto"/>
              </w:rPr>
            </w:pPr>
          </w:p>
        </w:tc>
        <w:tc>
          <w:tcPr>
            <w:tcW w:w="750" w:type="dxa"/>
          </w:tcPr>
          <w:p>
            <w:pPr>
              <w:rPr>
                <w:color w:val="auto"/>
              </w:rPr>
            </w:pPr>
          </w:p>
        </w:tc>
        <w:tc>
          <w:tcPr>
            <w:tcW w:w="917" w:type="dxa"/>
          </w:tcPr>
          <w:p>
            <w:pPr>
              <w:rPr>
                <w:color w:val="auto"/>
              </w:rPr>
            </w:pP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outlineLvl w:val="9"/>
        <w:rPr>
          <w:rFonts w:hint="eastAsia" w:hAnsi="宋体"/>
          <w:color w:val="auto"/>
          <w:sz w:val="24"/>
          <w:szCs w:val="24"/>
        </w:rPr>
      </w:pPr>
      <w:r>
        <w:rPr>
          <w:rFonts w:hint="eastAsia" w:hAnsi="宋体"/>
          <w:color w:val="auto"/>
          <w:sz w:val="24"/>
          <w:szCs w:val="24"/>
          <w:lang w:val="en-US" w:eastAsia="zh-CN"/>
        </w:rPr>
        <w:t>1</w:t>
      </w:r>
      <w:r>
        <w:rPr>
          <w:rFonts w:hint="eastAsia" w:hAnsi="宋体"/>
          <w:color w:val="auto"/>
          <w:sz w:val="24"/>
          <w:szCs w:val="24"/>
        </w:rPr>
        <w:t>.</w:t>
      </w:r>
      <w:r>
        <w:rPr>
          <w:rFonts w:hint="eastAsia" w:hAnsi="宋体"/>
          <w:color w:val="auto"/>
          <w:sz w:val="24"/>
          <w:szCs w:val="24"/>
          <w:lang w:eastAsia="zh-CN"/>
        </w:rPr>
        <w:t>响应供应商</w:t>
      </w:r>
      <w:r>
        <w:rPr>
          <w:rFonts w:hint="eastAsia" w:hAnsi="宋体"/>
          <w:color w:val="auto"/>
          <w:sz w:val="24"/>
          <w:szCs w:val="24"/>
        </w:rPr>
        <w:t>进行二次报价时，</w:t>
      </w:r>
      <w:r>
        <w:rPr>
          <w:rFonts w:hint="eastAsia" w:hAnsi="宋体"/>
          <w:color w:val="auto"/>
          <w:sz w:val="24"/>
          <w:szCs w:val="24"/>
          <w:lang w:eastAsia="zh-CN"/>
        </w:rPr>
        <w:t>须同时进行总价和分项明细报价；</w:t>
      </w:r>
      <w:r>
        <w:rPr>
          <w:rFonts w:hint="eastAsia"/>
          <w:color w:val="auto"/>
          <w:lang w:val="en-US" w:eastAsia="zh-CN"/>
        </w:rPr>
        <w:t>2</w:t>
      </w:r>
      <w:r>
        <w:rPr>
          <w:rFonts w:hint="eastAsia" w:hAnsi="宋体"/>
          <w:color w:val="auto"/>
          <w:sz w:val="24"/>
          <w:szCs w:val="24"/>
        </w:rPr>
        <w:t>.本表一式二份，一份随报价信封一起提交，一份编入</w:t>
      </w:r>
      <w:r>
        <w:rPr>
          <w:rFonts w:hint="eastAsia" w:hAnsi="宋体"/>
          <w:color w:val="auto"/>
          <w:sz w:val="24"/>
          <w:szCs w:val="24"/>
          <w:lang w:eastAsia="zh-CN"/>
        </w:rPr>
        <w:t>响应文件</w:t>
      </w:r>
      <w:r>
        <w:rPr>
          <w:rFonts w:hint="eastAsia" w:hAnsi="宋体"/>
          <w:color w:val="auto"/>
          <w:sz w:val="24"/>
          <w:szCs w:val="24"/>
        </w:rPr>
        <w:t>（经济部分）。</w:t>
      </w:r>
    </w:p>
    <w:bookmarkEnd w:id="49"/>
    <w:bookmarkEnd w:id="50"/>
    <w:p>
      <w:pPr>
        <w:kinsoku/>
        <w:overflowPunct/>
        <w:topLinePunct w:val="0"/>
        <w:bidi w:val="0"/>
        <w:spacing w:line="360" w:lineRule="auto"/>
        <w:outlineLvl w:val="9"/>
        <w:rPr>
          <w:rFonts w:hAnsi="宋体"/>
          <w:color w:val="auto"/>
          <w:sz w:val="21"/>
          <w:szCs w:val="21"/>
        </w:rPr>
      </w:pPr>
    </w:p>
    <w:p>
      <w:pPr>
        <w:pStyle w:val="30"/>
        <w:kinsoku/>
        <w:wordWrap w:val="0"/>
        <w:overflowPunct/>
        <w:topLinePunct w:val="0"/>
        <w:bidi w:val="0"/>
        <w:spacing w:line="480" w:lineRule="exact"/>
        <w:jc w:val="center"/>
        <w:outlineLvl w:val="9"/>
        <w:rPr>
          <w:rFonts w:hAnsi="宋体"/>
          <w:b/>
          <w:color w:val="auto"/>
          <w:kern w:val="0"/>
          <w:szCs w:val="21"/>
        </w:rPr>
      </w:pP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bookmarkStart w:id="91" w:name="_Toc523221405"/>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法定代表人（或法定代表人授权代表）签名（签章）：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hAnsi="宋体" w:cs="Times New Roman"/>
          <w:color w:val="auto"/>
          <w:sz w:val="24"/>
          <w:szCs w:val="24"/>
          <w:lang w:eastAsia="zh-CN"/>
        </w:rPr>
        <w:t>响应供应商</w:t>
      </w:r>
      <w:r>
        <w:rPr>
          <w:rFonts w:hint="eastAsia" w:ascii="宋体" w:hAnsi="宋体" w:eastAsia="宋体" w:cs="Times New Roman"/>
          <w:color w:val="auto"/>
          <w:sz w:val="24"/>
          <w:szCs w:val="24"/>
          <w:lang w:eastAsia="zh-CN"/>
        </w:rPr>
        <w:t>名称（加盖法人公章）：</w:t>
      </w:r>
    </w:p>
    <w:p>
      <w:pPr>
        <w:kinsoku/>
        <w:overflowPunct/>
        <w:topLinePunct w:val="0"/>
        <w:bidi w:val="0"/>
        <w:snapToGrid w:val="0"/>
        <w:spacing w:line="440" w:lineRule="exact"/>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日期：</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日</w:t>
      </w:r>
      <w:bookmarkEnd w:id="91"/>
    </w:p>
    <w:sectPr>
      <w:type w:val="continuous"/>
      <w:pgSz w:w="11906" w:h="16838"/>
      <w:pgMar w:top="1440" w:right="1080" w:bottom="1440" w:left="1080" w:header="567" w:footer="55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宋体_.">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HMire+4AQAAVQMAAA4AAAAAAAAAAQAgAAAAHwEAAGRycy9lMm9Eb2MueG1sUEsFBgAAAAAGAAYA&#10;WQEAAEk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61"/>
                            </w:rPr>
                          </w:pPr>
                          <w:r>
                            <w:fldChar w:fldCharType="begin"/>
                          </w:r>
                          <w:r>
                            <w:rPr>
                              <w:rStyle w:val="61"/>
                            </w:rPr>
                            <w:instrText xml:space="preserve">PAGE  </w:instrText>
                          </w:r>
                          <w:r>
                            <w:fldChar w:fldCharType="separate"/>
                          </w:r>
                          <w:r>
                            <w:rPr>
                              <w:rStyle w:val="61"/>
                            </w:rPr>
                            <w:t>60</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8kaovtgEAAFUDAAAOAAAAAAAAAAEAIAAAACIBAABkcnMvZTJvRG9jLnhtbFBLBQYAAAAABgAG&#10;AFkBAABKBQAAAAA=&#10;">
              <v:fill on="f" focussize="0,0"/>
              <v:stroke on="f" weight="1.25pt"/>
              <v:imagedata o:title=""/>
              <o:lock v:ext="edit" aspectratio="f"/>
              <v:textbox inset="0mm,0mm,0mm,0mm" style="mso-fit-shape-to-text:t;">
                <w:txbxContent>
                  <w:p>
                    <w:pPr>
                      <w:pStyle w:val="13"/>
                      <w:rPr>
                        <w:rStyle w:val="61"/>
                      </w:rPr>
                    </w:pPr>
                    <w:r>
                      <w:fldChar w:fldCharType="begin"/>
                    </w:r>
                    <w:r>
                      <w:rPr>
                        <w:rStyle w:val="61"/>
                      </w:rPr>
                      <w:instrText xml:space="preserve">PAGE  </w:instrText>
                    </w:r>
                    <w:r>
                      <w:fldChar w:fldCharType="separate"/>
                    </w:r>
                    <w:r>
                      <w:rPr>
                        <w:rStyle w:val="61"/>
                      </w:rP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3"/>
        <w:right w:val="none" w:color="auto" w:sz="0" w:space="0"/>
      </w:pBdr>
      <w:ind w:firstLine="360" w:firstLineChars="200"/>
      <w:rPr>
        <w:rFonts w:hint="eastAsia" w:eastAsia="宋体"/>
        <w:u w:val="single"/>
        <w:lang w:eastAsia="zh-CN"/>
      </w:rPr>
    </w:pPr>
    <w:r>
      <w:rPr>
        <w:rFonts w:hint="eastAsia"/>
        <w:u w:val="single"/>
        <w:lang w:eastAsia="zh-CN"/>
      </w:rPr>
      <w:t>洗衣房洗涤用品采购项目（第二次）</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lang w:eastAsia="zh-CN"/>
      </w:rPr>
      <w:t>NFQYCG2023002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33E23"/>
    <w:multiLevelType w:val="singleLevel"/>
    <w:tmpl w:val="CD733E23"/>
    <w:lvl w:ilvl="0" w:tentative="0">
      <w:start w:val="9"/>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5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decimal"/>
      <w:lvlText w:val="%1."/>
      <w:lvlJc w:val="left"/>
      <w:pPr>
        <w:tabs>
          <w:tab w:val="left" w:pos="704"/>
        </w:tabs>
        <w:ind w:left="70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F"/>
    <w:multiLevelType w:val="multilevel"/>
    <w:tmpl w:val="0000000F"/>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singleLevel"/>
    <w:tmpl w:val="00000010"/>
    <w:lvl w:ilvl="0" w:tentative="0">
      <w:start w:val="1"/>
      <w:numFmt w:val="upperLetter"/>
      <w:pStyle w:val="5"/>
      <w:lvlText w:val="%1."/>
      <w:legacy w:legacy="1" w:legacySpace="0" w:legacyIndent="285"/>
      <w:lvlJc w:val="left"/>
      <w:pPr>
        <w:ind w:left="1965" w:hanging="285"/>
      </w:pPr>
      <w:rPr>
        <w:rFonts w:hint="eastAsia" w:ascii="宋体" w:eastAsia="宋体"/>
        <w:b w:val="0"/>
        <w:i w:val="0"/>
        <w:sz w:val="28"/>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formatting="1" w:enforcement="0"/>
  <w:defaultTabStop w:val="42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NDEwMjA5YjhiMWRkM2JjMTlhZDVmNzlkYThlNzcifQ=="/>
  </w:docVars>
  <w:rsids>
    <w:rsidRoot w:val="007B1ED3"/>
    <w:rsid w:val="00001739"/>
    <w:rsid w:val="00003A08"/>
    <w:rsid w:val="00011016"/>
    <w:rsid w:val="0001188A"/>
    <w:rsid w:val="000136E6"/>
    <w:rsid w:val="00016DDB"/>
    <w:rsid w:val="00016F8E"/>
    <w:rsid w:val="00021370"/>
    <w:rsid w:val="00033FD2"/>
    <w:rsid w:val="000412EE"/>
    <w:rsid w:val="00042237"/>
    <w:rsid w:val="000464EA"/>
    <w:rsid w:val="0005203F"/>
    <w:rsid w:val="00055196"/>
    <w:rsid w:val="000560F1"/>
    <w:rsid w:val="00065CF1"/>
    <w:rsid w:val="0006780F"/>
    <w:rsid w:val="000706CD"/>
    <w:rsid w:val="0007628D"/>
    <w:rsid w:val="00081215"/>
    <w:rsid w:val="000864AB"/>
    <w:rsid w:val="00086DAB"/>
    <w:rsid w:val="00087C03"/>
    <w:rsid w:val="00097D6D"/>
    <w:rsid w:val="000A1E33"/>
    <w:rsid w:val="000A4EB9"/>
    <w:rsid w:val="000A7C87"/>
    <w:rsid w:val="000B29D6"/>
    <w:rsid w:val="000B354F"/>
    <w:rsid w:val="000C5459"/>
    <w:rsid w:val="000C703F"/>
    <w:rsid w:val="000C7CB3"/>
    <w:rsid w:val="000D0878"/>
    <w:rsid w:val="000D44F7"/>
    <w:rsid w:val="000E2B5F"/>
    <w:rsid w:val="000F287D"/>
    <w:rsid w:val="000F6FAD"/>
    <w:rsid w:val="0010025A"/>
    <w:rsid w:val="001010D2"/>
    <w:rsid w:val="00107B4C"/>
    <w:rsid w:val="00107FB4"/>
    <w:rsid w:val="00112EF3"/>
    <w:rsid w:val="00121EBD"/>
    <w:rsid w:val="00123392"/>
    <w:rsid w:val="00123864"/>
    <w:rsid w:val="0012425B"/>
    <w:rsid w:val="001276B2"/>
    <w:rsid w:val="0013271D"/>
    <w:rsid w:val="001449B0"/>
    <w:rsid w:val="001464B0"/>
    <w:rsid w:val="00146519"/>
    <w:rsid w:val="00146542"/>
    <w:rsid w:val="00151809"/>
    <w:rsid w:val="00153DA7"/>
    <w:rsid w:val="0015468D"/>
    <w:rsid w:val="001551B9"/>
    <w:rsid w:val="00156706"/>
    <w:rsid w:val="001578B5"/>
    <w:rsid w:val="001629D4"/>
    <w:rsid w:val="001663B3"/>
    <w:rsid w:val="00167F24"/>
    <w:rsid w:val="001746CB"/>
    <w:rsid w:val="0017667D"/>
    <w:rsid w:val="00176811"/>
    <w:rsid w:val="0017766F"/>
    <w:rsid w:val="0018459D"/>
    <w:rsid w:val="0018554D"/>
    <w:rsid w:val="00186E1F"/>
    <w:rsid w:val="00194742"/>
    <w:rsid w:val="00197CFD"/>
    <w:rsid w:val="001A46D1"/>
    <w:rsid w:val="001A4990"/>
    <w:rsid w:val="001B459D"/>
    <w:rsid w:val="001B4995"/>
    <w:rsid w:val="001B4ED5"/>
    <w:rsid w:val="001C2F1B"/>
    <w:rsid w:val="001C5F5F"/>
    <w:rsid w:val="001C6E96"/>
    <w:rsid w:val="001C7C51"/>
    <w:rsid w:val="001D27EB"/>
    <w:rsid w:val="001E06E3"/>
    <w:rsid w:val="001E65FF"/>
    <w:rsid w:val="001F226B"/>
    <w:rsid w:val="001F3624"/>
    <w:rsid w:val="001F4A51"/>
    <w:rsid w:val="001F7F2C"/>
    <w:rsid w:val="0020215F"/>
    <w:rsid w:val="002039E6"/>
    <w:rsid w:val="00213C2A"/>
    <w:rsid w:val="0021429C"/>
    <w:rsid w:val="0021469F"/>
    <w:rsid w:val="002161CE"/>
    <w:rsid w:val="00217172"/>
    <w:rsid w:val="00221BA5"/>
    <w:rsid w:val="00226424"/>
    <w:rsid w:val="00227A9E"/>
    <w:rsid w:val="0023546C"/>
    <w:rsid w:val="00237DB2"/>
    <w:rsid w:val="00242BC7"/>
    <w:rsid w:val="00244A5D"/>
    <w:rsid w:val="00255CB5"/>
    <w:rsid w:val="00261A27"/>
    <w:rsid w:val="00262A32"/>
    <w:rsid w:val="00267F54"/>
    <w:rsid w:val="00270BC6"/>
    <w:rsid w:val="00272947"/>
    <w:rsid w:val="00276A94"/>
    <w:rsid w:val="00287559"/>
    <w:rsid w:val="00290847"/>
    <w:rsid w:val="00293848"/>
    <w:rsid w:val="00294628"/>
    <w:rsid w:val="002A4CB3"/>
    <w:rsid w:val="002A7BEE"/>
    <w:rsid w:val="002B66EB"/>
    <w:rsid w:val="002B7441"/>
    <w:rsid w:val="002B77EC"/>
    <w:rsid w:val="002C0EB2"/>
    <w:rsid w:val="002C2CEF"/>
    <w:rsid w:val="002C6EEE"/>
    <w:rsid w:val="002C7A3D"/>
    <w:rsid w:val="002D27F8"/>
    <w:rsid w:val="002D2AB5"/>
    <w:rsid w:val="002D62D6"/>
    <w:rsid w:val="002E4F58"/>
    <w:rsid w:val="002E7CCE"/>
    <w:rsid w:val="002E7FC6"/>
    <w:rsid w:val="002F0913"/>
    <w:rsid w:val="002F2927"/>
    <w:rsid w:val="00300CB5"/>
    <w:rsid w:val="00304A70"/>
    <w:rsid w:val="003050D5"/>
    <w:rsid w:val="00312038"/>
    <w:rsid w:val="00313121"/>
    <w:rsid w:val="003152CD"/>
    <w:rsid w:val="0033167D"/>
    <w:rsid w:val="00334C16"/>
    <w:rsid w:val="00340179"/>
    <w:rsid w:val="00347037"/>
    <w:rsid w:val="00351974"/>
    <w:rsid w:val="00352BAE"/>
    <w:rsid w:val="00354018"/>
    <w:rsid w:val="00356CA6"/>
    <w:rsid w:val="0035732B"/>
    <w:rsid w:val="00360A8C"/>
    <w:rsid w:val="00362534"/>
    <w:rsid w:val="00375617"/>
    <w:rsid w:val="0037641F"/>
    <w:rsid w:val="0037673F"/>
    <w:rsid w:val="003808F3"/>
    <w:rsid w:val="00382886"/>
    <w:rsid w:val="00384E7B"/>
    <w:rsid w:val="00385798"/>
    <w:rsid w:val="00387AF2"/>
    <w:rsid w:val="003948F0"/>
    <w:rsid w:val="00394E3E"/>
    <w:rsid w:val="003A5D8D"/>
    <w:rsid w:val="003B035D"/>
    <w:rsid w:val="003B2FE8"/>
    <w:rsid w:val="003B45D8"/>
    <w:rsid w:val="003C4EFB"/>
    <w:rsid w:val="003C630C"/>
    <w:rsid w:val="003C78A5"/>
    <w:rsid w:val="003D20C9"/>
    <w:rsid w:val="003E28CD"/>
    <w:rsid w:val="003E673B"/>
    <w:rsid w:val="00406D91"/>
    <w:rsid w:val="004165D7"/>
    <w:rsid w:val="00421DBE"/>
    <w:rsid w:val="00425266"/>
    <w:rsid w:val="0042595A"/>
    <w:rsid w:val="004269A7"/>
    <w:rsid w:val="004310EE"/>
    <w:rsid w:val="00431E6E"/>
    <w:rsid w:val="00432A21"/>
    <w:rsid w:val="00433431"/>
    <w:rsid w:val="0043432E"/>
    <w:rsid w:val="0044148B"/>
    <w:rsid w:val="004509EE"/>
    <w:rsid w:val="00451F6D"/>
    <w:rsid w:val="00452F89"/>
    <w:rsid w:val="0046098A"/>
    <w:rsid w:val="00461B4D"/>
    <w:rsid w:val="00463D01"/>
    <w:rsid w:val="00466C5E"/>
    <w:rsid w:val="004672D4"/>
    <w:rsid w:val="0047298C"/>
    <w:rsid w:val="004847E5"/>
    <w:rsid w:val="00484F4A"/>
    <w:rsid w:val="00485E84"/>
    <w:rsid w:val="00490223"/>
    <w:rsid w:val="004902E3"/>
    <w:rsid w:val="004A10A8"/>
    <w:rsid w:val="004A3148"/>
    <w:rsid w:val="004B103B"/>
    <w:rsid w:val="004B74A6"/>
    <w:rsid w:val="004C0517"/>
    <w:rsid w:val="004C365F"/>
    <w:rsid w:val="004C5CA2"/>
    <w:rsid w:val="004D041E"/>
    <w:rsid w:val="004D0CAD"/>
    <w:rsid w:val="004D476D"/>
    <w:rsid w:val="004E36C1"/>
    <w:rsid w:val="004E3AA0"/>
    <w:rsid w:val="004E4D55"/>
    <w:rsid w:val="004E5AA6"/>
    <w:rsid w:val="004F4CBC"/>
    <w:rsid w:val="004F6922"/>
    <w:rsid w:val="004F6F6B"/>
    <w:rsid w:val="004F7EFC"/>
    <w:rsid w:val="005044AF"/>
    <w:rsid w:val="00504BB8"/>
    <w:rsid w:val="0051550F"/>
    <w:rsid w:val="00516148"/>
    <w:rsid w:val="00516916"/>
    <w:rsid w:val="00525847"/>
    <w:rsid w:val="005271B8"/>
    <w:rsid w:val="005275DF"/>
    <w:rsid w:val="00532D17"/>
    <w:rsid w:val="00532EC1"/>
    <w:rsid w:val="0054084E"/>
    <w:rsid w:val="00542CC6"/>
    <w:rsid w:val="00542DF9"/>
    <w:rsid w:val="00544001"/>
    <w:rsid w:val="0054636C"/>
    <w:rsid w:val="0055116F"/>
    <w:rsid w:val="0055269F"/>
    <w:rsid w:val="00567718"/>
    <w:rsid w:val="00572825"/>
    <w:rsid w:val="005749F2"/>
    <w:rsid w:val="005756DC"/>
    <w:rsid w:val="00575DC3"/>
    <w:rsid w:val="00576F19"/>
    <w:rsid w:val="0059051D"/>
    <w:rsid w:val="00593287"/>
    <w:rsid w:val="005A6099"/>
    <w:rsid w:val="005B0DAF"/>
    <w:rsid w:val="005B6D16"/>
    <w:rsid w:val="005C45C3"/>
    <w:rsid w:val="005C774D"/>
    <w:rsid w:val="005D1CF6"/>
    <w:rsid w:val="005D3857"/>
    <w:rsid w:val="005D3E78"/>
    <w:rsid w:val="005D72A3"/>
    <w:rsid w:val="005D7DD4"/>
    <w:rsid w:val="005E17F5"/>
    <w:rsid w:val="005E2AE1"/>
    <w:rsid w:val="005F42F9"/>
    <w:rsid w:val="005F51C5"/>
    <w:rsid w:val="005F5B8D"/>
    <w:rsid w:val="00601600"/>
    <w:rsid w:val="00601FC9"/>
    <w:rsid w:val="0060483A"/>
    <w:rsid w:val="00612AF9"/>
    <w:rsid w:val="00613090"/>
    <w:rsid w:val="0061471B"/>
    <w:rsid w:val="00614CE1"/>
    <w:rsid w:val="00616509"/>
    <w:rsid w:val="00617626"/>
    <w:rsid w:val="00623242"/>
    <w:rsid w:val="00623667"/>
    <w:rsid w:val="006240D4"/>
    <w:rsid w:val="00627822"/>
    <w:rsid w:val="00633A06"/>
    <w:rsid w:val="006349EB"/>
    <w:rsid w:val="00635E63"/>
    <w:rsid w:val="006408FF"/>
    <w:rsid w:val="0064137D"/>
    <w:rsid w:val="00642A58"/>
    <w:rsid w:val="00644781"/>
    <w:rsid w:val="006500D3"/>
    <w:rsid w:val="0065047A"/>
    <w:rsid w:val="00652DE6"/>
    <w:rsid w:val="00657FD2"/>
    <w:rsid w:val="00660F4C"/>
    <w:rsid w:val="006618ED"/>
    <w:rsid w:val="0066549E"/>
    <w:rsid w:val="00666B2A"/>
    <w:rsid w:val="00674ADF"/>
    <w:rsid w:val="006819B7"/>
    <w:rsid w:val="0068355C"/>
    <w:rsid w:val="0068608A"/>
    <w:rsid w:val="00686EA4"/>
    <w:rsid w:val="006913D7"/>
    <w:rsid w:val="006944AF"/>
    <w:rsid w:val="00697E19"/>
    <w:rsid w:val="006A118F"/>
    <w:rsid w:val="006A314E"/>
    <w:rsid w:val="006A4B60"/>
    <w:rsid w:val="006A67BA"/>
    <w:rsid w:val="006B314F"/>
    <w:rsid w:val="006B3CE1"/>
    <w:rsid w:val="006B4619"/>
    <w:rsid w:val="006C14F6"/>
    <w:rsid w:val="006C52A5"/>
    <w:rsid w:val="006D7B9B"/>
    <w:rsid w:val="006D7E3F"/>
    <w:rsid w:val="006E2B93"/>
    <w:rsid w:val="006E6DFD"/>
    <w:rsid w:val="006F1CCB"/>
    <w:rsid w:val="00700F69"/>
    <w:rsid w:val="00701A43"/>
    <w:rsid w:val="00703643"/>
    <w:rsid w:val="00703FCF"/>
    <w:rsid w:val="007054C6"/>
    <w:rsid w:val="0071154D"/>
    <w:rsid w:val="00713EB8"/>
    <w:rsid w:val="007159B8"/>
    <w:rsid w:val="007164FE"/>
    <w:rsid w:val="00722E74"/>
    <w:rsid w:val="00740363"/>
    <w:rsid w:val="00742957"/>
    <w:rsid w:val="0074303F"/>
    <w:rsid w:val="007458F5"/>
    <w:rsid w:val="00753643"/>
    <w:rsid w:val="00753C24"/>
    <w:rsid w:val="0075426C"/>
    <w:rsid w:val="0075764D"/>
    <w:rsid w:val="00761159"/>
    <w:rsid w:val="00764F3E"/>
    <w:rsid w:val="00765B07"/>
    <w:rsid w:val="0077183B"/>
    <w:rsid w:val="0078182F"/>
    <w:rsid w:val="00783DA8"/>
    <w:rsid w:val="00784766"/>
    <w:rsid w:val="007870CF"/>
    <w:rsid w:val="0078765A"/>
    <w:rsid w:val="007901D9"/>
    <w:rsid w:val="007914C5"/>
    <w:rsid w:val="007B0F88"/>
    <w:rsid w:val="007B1ED3"/>
    <w:rsid w:val="007B3FF0"/>
    <w:rsid w:val="007C1C8E"/>
    <w:rsid w:val="007C302F"/>
    <w:rsid w:val="007C69A3"/>
    <w:rsid w:val="007C7EA5"/>
    <w:rsid w:val="007D314F"/>
    <w:rsid w:val="007D33FE"/>
    <w:rsid w:val="007E0E63"/>
    <w:rsid w:val="007E4F6F"/>
    <w:rsid w:val="007F4186"/>
    <w:rsid w:val="007F79B5"/>
    <w:rsid w:val="00807978"/>
    <w:rsid w:val="0081009B"/>
    <w:rsid w:val="0081419C"/>
    <w:rsid w:val="00814FEE"/>
    <w:rsid w:val="00815AC8"/>
    <w:rsid w:val="0082114C"/>
    <w:rsid w:val="008231A1"/>
    <w:rsid w:val="008315FB"/>
    <w:rsid w:val="00836759"/>
    <w:rsid w:val="0083794B"/>
    <w:rsid w:val="00841D89"/>
    <w:rsid w:val="008423D3"/>
    <w:rsid w:val="00842CD0"/>
    <w:rsid w:val="008517CA"/>
    <w:rsid w:val="0085228E"/>
    <w:rsid w:val="00856394"/>
    <w:rsid w:val="0085744D"/>
    <w:rsid w:val="0086673D"/>
    <w:rsid w:val="0086729C"/>
    <w:rsid w:val="008726E7"/>
    <w:rsid w:val="00874D03"/>
    <w:rsid w:val="00875BFF"/>
    <w:rsid w:val="00882A09"/>
    <w:rsid w:val="00884CB2"/>
    <w:rsid w:val="008853DE"/>
    <w:rsid w:val="00886082"/>
    <w:rsid w:val="00891FAF"/>
    <w:rsid w:val="008946D3"/>
    <w:rsid w:val="0089494F"/>
    <w:rsid w:val="00894BBA"/>
    <w:rsid w:val="00897808"/>
    <w:rsid w:val="008B6ABB"/>
    <w:rsid w:val="008C02E8"/>
    <w:rsid w:val="008C42C4"/>
    <w:rsid w:val="008C4B56"/>
    <w:rsid w:val="008C68AF"/>
    <w:rsid w:val="008D083A"/>
    <w:rsid w:val="008D101F"/>
    <w:rsid w:val="008D7251"/>
    <w:rsid w:val="008D7658"/>
    <w:rsid w:val="008D7C09"/>
    <w:rsid w:val="008E7B21"/>
    <w:rsid w:val="00901E8F"/>
    <w:rsid w:val="00915960"/>
    <w:rsid w:val="009217D5"/>
    <w:rsid w:val="00922810"/>
    <w:rsid w:val="00933E4E"/>
    <w:rsid w:val="00935C0E"/>
    <w:rsid w:val="009368DF"/>
    <w:rsid w:val="00941C45"/>
    <w:rsid w:val="00951932"/>
    <w:rsid w:val="0095535F"/>
    <w:rsid w:val="009627B1"/>
    <w:rsid w:val="00964A61"/>
    <w:rsid w:val="00971562"/>
    <w:rsid w:val="00974AF3"/>
    <w:rsid w:val="009766E8"/>
    <w:rsid w:val="00981987"/>
    <w:rsid w:val="00982BC2"/>
    <w:rsid w:val="00991FAC"/>
    <w:rsid w:val="00992BF4"/>
    <w:rsid w:val="009942FD"/>
    <w:rsid w:val="00997115"/>
    <w:rsid w:val="00997186"/>
    <w:rsid w:val="009A1E0F"/>
    <w:rsid w:val="009A5E88"/>
    <w:rsid w:val="009A79E1"/>
    <w:rsid w:val="009B4236"/>
    <w:rsid w:val="009B5465"/>
    <w:rsid w:val="009B63A7"/>
    <w:rsid w:val="009C1F31"/>
    <w:rsid w:val="009C4CF3"/>
    <w:rsid w:val="009C6AAA"/>
    <w:rsid w:val="009D2DFD"/>
    <w:rsid w:val="009E4EA7"/>
    <w:rsid w:val="009F0BDE"/>
    <w:rsid w:val="009F3540"/>
    <w:rsid w:val="009F4B47"/>
    <w:rsid w:val="009F5A43"/>
    <w:rsid w:val="00A0481D"/>
    <w:rsid w:val="00A06D61"/>
    <w:rsid w:val="00A07FA1"/>
    <w:rsid w:val="00A11FBF"/>
    <w:rsid w:val="00A1488C"/>
    <w:rsid w:val="00A20C3B"/>
    <w:rsid w:val="00A227F2"/>
    <w:rsid w:val="00A23A97"/>
    <w:rsid w:val="00A26AEB"/>
    <w:rsid w:val="00A27A86"/>
    <w:rsid w:val="00A31F72"/>
    <w:rsid w:val="00A32007"/>
    <w:rsid w:val="00A331FB"/>
    <w:rsid w:val="00A37647"/>
    <w:rsid w:val="00A41FA5"/>
    <w:rsid w:val="00A4719B"/>
    <w:rsid w:val="00A54BBC"/>
    <w:rsid w:val="00A559A9"/>
    <w:rsid w:val="00A579BE"/>
    <w:rsid w:val="00A6598E"/>
    <w:rsid w:val="00A70343"/>
    <w:rsid w:val="00A709A2"/>
    <w:rsid w:val="00A74F98"/>
    <w:rsid w:val="00A75A1D"/>
    <w:rsid w:val="00A85244"/>
    <w:rsid w:val="00A867B0"/>
    <w:rsid w:val="00A929E3"/>
    <w:rsid w:val="00AA0E5B"/>
    <w:rsid w:val="00AA1FF2"/>
    <w:rsid w:val="00AA32E7"/>
    <w:rsid w:val="00AA349D"/>
    <w:rsid w:val="00AA4901"/>
    <w:rsid w:val="00AA5817"/>
    <w:rsid w:val="00AA6D56"/>
    <w:rsid w:val="00AB320C"/>
    <w:rsid w:val="00AB3BED"/>
    <w:rsid w:val="00AB7BE1"/>
    <w:rsid w:val="00AC010F"/>
    <w:rsid w:val="00AC048C"/>
    <w:rsid w:val="00AC2586"/>
    <w:rsid w:val="00AC5EA0"/>
    <w:rsid w:val="00AD3D29"/>
    <w:rsid w:val="00AD4D2B"/>
    <w:rsid w:val="00AE5E02"/>
    <w:rsid w:val="00AF04FE"/>
    <w:rsid w:val="00B00BA6"/>
    <w:rsid w:val="00B02C61"/>
    <w:rsid w:val="00B07589"/>
    <w:rsid w:val="00B07EF5"/>
    <w:rsid w:val="00B1186C"/>
    <w:rsid w:val="00B17474"/>
    <w:rsid w:val="00B223B2"/>
    <w:rsid w:val="00B26967"/>
    <w:rsid w:val="00B27A5C"/>
    <w:rsid w:val="00B27F4C"/>
    <w:rsid w:val="00B30E05"/>
    <w:rsid w:val="00B37D9A"/>
    <w:rsid w:val="00B4372F"/>
    <w:rsid w:val="00B44341"/>
    <w:rsid w:val="00B452B7"/>
    <w:rsid w:val="00B46587"/>
    <w:rsid w:val="00B47C26"/>
    <w:rsid w:val="00B5022A"/>
    <w:rsid w:val="00B50DAA"/>
    <w:rsid w:val="00B51AF3"/>
    <w:rsid w:val="00B6312E"/>
    <w:rsid w:val="00B642E7"/>
    <w:rsid w:val="00B84DD6"/>
    <w:rsid w:val="00B87D2E"/>
    <w:rsid w:val="00B92B99"/>
    <w:rsid w:val="00B97F4A"/>
    <w:rsid w:val="00BA5360"/>
    <w:rsid w:val="00BA755F"/>
    <w:rsid w:val="00BB0F4A"/>
    <w:rsid w:val="00BB694C"/>
    <w:rsid w:val="00BC13E5"/>
    <w:rsid w:val="00BC3299"/>
    <w:rsid w:val="00BC409F"/>
    <w:rsid w:val="00BC41BF"/>
    <w:rsid w:val="00BC4DA9"/>
    <w:rsid w:val="00BC61E3"/>
    <w:rsid w:val="00BD265F"/>
    <w:rsid w:val="00BD28A8"/>
    <w:rsid w:val="00BD498C"/>
    <w:rsid w:val="00BE07D1"/>
    <w:rsid w:val="00BE1FCA"/>
    <w:rsid w:val="00BF0CEC"/>
    <w:rsid w:val="00BF546B"/>
    <w:rsid w:val="00C011E1"/>
    <w:rsid w:val="00C10E21"/>
    <w:rsid w:val="00C112CD"/>
    <w:rsid w:val="00C115C0"/>
    <w:rsid w:val="00C13ADA"/>
    <w:rsid w:val="00C145E9"/>
    <w:rsid w:val="00C16620"/>
    <w:rsid w:val="00C22667"/>
    <w:rsid w:val="00C33ADF"/>
    <w:rsid w:val="00C40BE3"/>
    <w:rsid w:val="00C43FD7"/>
    <w:rsid w:val="00C4504D"/>
    <w:rsid w:val="00C45354"/>
    <w:rsid w:val="00C45B75"/>
    <w:rsid w:val="00C503F3"/>
    <w:rsid w:val="00C52E60"/>
    <w:rsid w:val="00C60762"/>
    <w:rsid w:val="00C6714F"/>
    <w:rsid w:val="00C72625"/>
    <w:rsid w:val="00C72D0C"/>
    <w:rsid w:val="00C7356D"/>
    <w:rsid w:val="00C8066B"/>
    <w:rsid w:val="00C828E4"/>
    <w:rsid w:val="00C84DDF"/>
    <w:rsid w:val="00C853A0"/>
    <w:rsid w:val="00C856FA"/>
    <w:rsid w:val="00C85D3C"/>
    <w:rsid w:val="00C96019"/>
    <w:rsid w:val="00CA5C03"/>
    <w:rsid w:val="00CA6DF0"/>
    <w:rsid w:val="00CA7532"/>
    <w:rsid w:val="00CB7609"/>
    <w:rsid w:val="00CB7D62"/>
    <w:rsid w:val="00CC204B"/>
    <w:rsid w:val="00CC2715"/>
    <w:rsid w:val="00CD0BC8"/>
    <w:rsid w:val="00CD1932"/>
    <w:rsid w:val="00CD7336"/>
    <w:rsid w:val="00CE20FE"/>
    <w:rsid w:val="00CF0490"/>
    <w:rsid w:val="00CF2FDB"/>
    <w:rsid w:val="00CF302A"/>
    <w:rsid w:val="00CF4558"/>
    <w:rsid w:val="00D06CD9"/>
    <w:rsid w:val="00D07E88"/>
    <w:rsid w:val="00D106B4"/>
    <w:rsid w:val="00D121AD"/>
    <w:rsid w:val="00D168DE"/>
    <w:rsid w:val="00D22F10"/>
    <w:rsid w:val="00D24EA0"/>
    <w:rsid w:val="00D25CEA"/>
    <w:rsid w:val="00D27A14"/>
    <w:rsid w:val="00D309E6"/>
    <w:rsid w:val="00D31A8D"/>
    <w:rsid w:val="00D31C65"/>
    <w:rsid w:val="00D4361C"/>
    <w:rsid w:val="00D47A51"/>
    <w:rsid w:val="00D562A2"/>
    <w:rsid w:val="00D56312"/>
    <w:rsid w:val="00D61362"/>
    <w:rsid w:val="00D72069"/>
    <w:rsid w:val="00D76C08"/>
    <w:rsid w:val="00D80D04"/>
    <w:rsid w:val="00D85A58"/>
    <w:rsid w:val="00D91A40"/>
    <w:rsid w:val="00D9302D"/>
    <w:rsid w:val="00DA187F"/>
    <w:rsid w:val="00DA3EDE"/>
    <w:rsid w:val="00DA5EBA"/>
    <w:rsid w:val="00DB3A36"/>
    <w:rsid w:val="00DB76DD"/>
    <w:rsid w:val="00DC0DCD"/>
    <w:rsid w:val="00DC3476"/>
    <w:rsid w:val="00DC3490"/>
    <w:rsid w:val="00DC3FFB"/>
    <w:rsid w:val="00DD3D68"/>
    <w:rsid w:val="00DD497B"/>
    <w:rsid w:val="00DE0F3D"/>
    <w:rsid w:val="00DE336C"/>
    <w:rsid w:val="00DE6C6F"/>
    <w:rsid w:val="00DF4170"/>
    <w:rsid w:val="00E0005E"/>
    <w:rsid w:val="00E03519"/>
    <w:rsid w:val="00E224FA"/>
    <w:rsid w:val="00E32400"/>
    <w:rsid w:val="00E34785"/>
    <w:rsid w:val="00E40C2C"/>
    <w:rsid w:val="00E40EA4"/>
    <w:rsid w:val="00E45899"/>
    <w:rsid w:val="00E62F9E"/>
    <w:rsid w:val="00E64F8A"/>
    <w:rsid w:val="00E66B74"/>
    <w:rsid w:val="00E67C20"/>
    <w:rsid w:val="00E701F0"/>
    <w:rsid w:val="00E71074"/>
    <w:rsid w:val="00E724C4"/>
    <w:rsid w:val="00E867D1"/>
    <w:rsid w:val="00E90717"/>
    <w:rsid w:val="00E92D0A"/>
    <w:rsid w:val="00E96178"/>
    <w:rsid w:val="00EB0A71"/>
    <w:rsid w:val="00EB67E0"/>
    <w:rsid w:val="00EC0445"/>
    <w:rsid w:val="00EC2B2D"/>
    <w:rsid w:val="00EC754C"/>
    <w:rsid w:val="00ED0658"/>
    <w:rsid w:val="00ED06B5"/>
    <w:rsid w:val="00ED0FB6"/>
    <w:rsid w:val="00ED1810"/>
    <w:rsid w:val="00ED7F7A"/>
    <w:rsid w:val="00EE08E3"/>
    <w:rsid w:val="00EE2946"/>
    <w:rsid w:val="00EE3E4D"/>
    <w:rsid w:val="00EE6985"/>
    <w:rsid w:val="00EF260A"/>
    <w:rsid w:val="00EF3804"/>
    <w:rsid w:val="00EF636E"/>
    <w:rsid w:val="00F00218"/>
    <w:rsid w:val="00F00AB0"/>
    <w:rsid w:val="00F01F9C"/>
    <w:rsid w:val="00F03314"/>
    <w:rsid w:val="00F044BC"/>
    <w:rsid w:val="00F0483B"/>
    <w:rsid w:val="00F078D8"/>
    <w:rsid w:val="00F11C93"/>
    <w:rsid w:val="00F13663"/>
    <w:rsid w:val="00F22347"/>
    <w:rsid w:val="00F2299E"/>
    <w:rsid w:val="00F23864"/>
    <w:rsid w:val="00F25652"/>
    <w:rsid w:val="00F26FFD"/>
    <w:rsid w:val="00F3069A"/>
    <w:rsid w:val="00F32DC2"/>
    <w:rsid w:val="00F34016"/>
    <w:rsid w:val="00F347BE"/>
    <w:rsid w:val="00F377BC"/>
    <w:rsid w:val="00F402A1"/>
    <w:rsid w:val="00F40951"/>
    <w:rsid w:val="00F4585E"/>
    <w:rsid w:val="00F51E90"/>
    <w:rsid w:val="00F528EE"/>
    <w:rsid w:val="00F539BF"/>
    <w:rsid w:val="00F5630B"/>
    <w:rsid w:val="00F64937"/>
    <w:rsid w:val="00F7007E"/>
    <w:rsid w:val="00F72204"/>
    <w:rsid w:val="00F739D5"/>
    <w:rsid w:val="00F76FD0"/>
    <w:rsid w:val="00F83660"/>
    <w:rsid w:val="00F83D22"/>
    <w:rsid w:val="00F92571"/>
    <w:rsid w:val="00FA0B40"/>
    <w:rsid w:val="00FA5CFF"/>
    <w:rsid w:val="00FB0D97"/>
    <w:rsid w:val="00FC2119"/>
    <w:rsid w:val="00FC2415"/>
    <w:rsid w:val="00FC3607"/>
    <w:rsid w:val="00FC4D46"/>
    <w:rsid w:val="00FC669C"/>
    <w:rsid w:val="00FC68DC"/>
    <w:rsid w:val="00FC6CE9"/>
    <w:rsid w:val="00FD05AE"/>
    <w:rsid w:val="00FE1E99"/>
    <w:rsid w:val="00FE45FF"/>
    <w:rsid w:val="00FF6113"/>
    <w:rsid w:val="00FF7CC4"/>
    <w:rsid w:val="011B1CB1"/>
    <w:rsid w:val="01205A30"/>
    <w:rsid w:val="01A22175"/>
    <w:rsid w:val="01C009D0"/>
    <w:rsid w:val="02045BAB"/>
    <w:rsid w:val="02110CF8"/>
    <w:rsid w:val="02520E62"/>
    <w:rsid w:val="027A0004"/>
    <w:rsid w:val="02C01A9A"/>
    <w:rsid w:val="02E34E49"/>
    <w:rsid w:val="02E676EC"/>
    <w:rsid w:val="02EE615B"/>
    <w:rsid w:val="0300128E"/>
    <w:rsid w:val="033A763D"/>
    <w:rsid w:val="03793194"/>
    <w:rsid w:val="03944A50"/>
    <w:rsid w:val="03AA4FC4"/>
    <w:rsid w:val="03C96E39"/>
    <w:rsid w:val="03E044FB"/>
    <w:rsid w:val="03EE1362"/>
    <w:rsid w:val="045C1FF4"/>
    <w:rsid w:val="04C23372"/>
    <w:rsid w:val="04F22993"/>
    <w:rsid w:val="0504695E"/>
    <w:rsid w:val="05142673"/>
    <w:rsid w:val="051F6714"/>
    <w:rsid w:val="056E500E"/>
    <w:rsid w:val="05902DBF"/>
    <w:rsid w:val="05D31EBA"/>
    <w:rsid w:val="06031D41"/>
    <w:rsid w:val="061458D2"/>
    <w:rsid w:val="0627728F"/>
    <w:rsid w:val="063C4A1B"/>
    <w:rsid w:val="068D1099"/>
    <w:rsid w:val="06A61376"/>
    <w:rsid w:val="070643E1"/>
    <w:rsid w:val="072906A0"/>
    <w:rsid w:val="072D2DE1"/>
    <w:rsid w:val="075349C0"/>
    <w:rsid w:val="075834E7"/>
    <w:rsid w:val="075C6CA5"/>
    <w:rsid w:val="07832BA1"/>
    <w:rsid w:val="07854DC9"/>
    <w:rsid w:val="07A14D43"/>
    <w:rsid w:val="07A7760A"/>
    <w:rsid w:val="07D83A7D"/>
    <w:rsid w:val="07F83737"/>
    <w:rsid w:val="08347456"/>
    <w:rsid w:val="08767B57"/>
    <w:rsid w:val="08787171"/>
    <w:rsid w:val="08857846"/>
    <w:rsid w:val="089F1540"/>
    <w:rsid w:val="08D472AD"/>
    <w:rsid w:val="08ED702D"/>
    <w:rsid w:val="091066D1"/>
    <w:rsid w:val="0915764C"/>
    <w:rsid w:val="092F692D"/>
    <w:rsid w:val="092F72D9"/>
    <w:rsid w:val="09304FAA"/>
    <w:rsid w:val="09420839"/>
    <w:rsid w:val="094A2EC6"/>
    <w:rsid w:val="09A173F8"/>
    <w:rsid w:val="09B71F48"/>
    <w:rsid w:val="09B9195C"/>
    <w:rsid w:val="09EA39F6"/>
    <w:rsid w:val="0A072323"/>
    <w:rsid w:val="0A60657A"/>
    <w:rsid w:val="0A735F3E"/>
    <w:rsid w:val="0A9F22FC"/>
    <w:rsid w:val="0AC4180A"/>
    <w:rsid w:val="0B1D7215"/>
    <w:rsid w:val="0B512FB6"/>
    <w:rsid w:val="0B5A7B4A"/>
    <w:rsid w:val="0B6414BC"/>
    <w:rsid w:val="0B734D01"/>
    <w:rsid w:val="0BAC5DFB"/>
    <w:rsid w:val="0BD738C6"/>
    <w:rsid w:val="0C496514"/>
    <w:rsid w:val="0CB800A1"/>
    <w:rsid w:val="0CC74FD9"/>
    <w:rsid w:val="0CE71E24"/>
    <w:rsid w:val="0D236902"/>
    <w:rsid w:val="0D2F6B83"/>
    <w:rsid w:val="0D65105E"/>
    <w:rsid w:val="0D6B2B7C"/>
    <w:rsid w:val="0D732DC0"/>
    <w:rsid w:val="0D8F5522"/>
    <w:rsid w:val="0DD96C36"/>
    <w:rsid w:val="0E19368B"/>
    <w:rsid w:val="0E2F3163"/>
    <w:rsid w:val="0E5D23C1"/>
    <w:rsid w:val="0EAD49A7"/>
    <w:rsid w:val="0EC77FFB"/>
    <w:rsid w:val="0ED40972"/>
    <w:rsid w:val="0EF52FF6"/>
    <w:rsid w:val="0F065E81"/>
    <w:rsid w:val="0F3E0105"/>
    <w:rsid w:val="0F54524D"/>
    <w:rsid w:val="0F627B29"/>
    <w:rsid w:val="0F963DB2"/>
    <w:rsid w:val="0FDB784B"/>
    <w:rsid w:val="0FF539C4"/>
    <w:rsid w:val="10264CC1"/>
    <w:rsid w:val="1031254B"/>
    <w:rsid w:val="10414F02"/>
    <w:rsid w:val="108725F8"/>
    <w:rsid w:val="10C629C4"/>
    <w:rsid w:val="10D13F09"/>
    <w:rsid w:val="10DE0B05"/>
    <w:rsid w:val="10E741A0"/>
    <w:rsid w:val="10EF2742"/>
    <w:rsid w:val="10FE2CB3"/>
    <w:rsid w:val="114323B1"/>
    <w:rsid w:val="11472F96"/>
    <w:rsid w:val="114F7D3C"/>
    <w:rsid w:val="11643DC6"/>
    <w:rsid w:val="116D7C8F"/>
    <w:rsid w:val="11836EFB"/>
    <w:rsid w:val="118B4FBF"/>
    <w:rsid w:val="11D12B78"/>
    <w:rsid w:val="11E2795E"/>
    <w:rsid w:val="11F31119"/>
    <w:rsid w:val="12220440"/>
    <w:rsid w:val="12714603"/>
    <w:rsid w:val="12A10CC7"/>
    <w:rsid w:val="12C417AD"/>
    <w:rsid w:val="12E0582D"/>
    <w:rsid w:val="1312761C"/>
    <w:rsid w:val="133B4FB2"/>
    <w:rsid w:val="133B5EF8"/>
    <w:rsid w:val="133C3DD0"/>
    <w:rsid w:val="135E1CC5"/>
    <w:rsid w:val="13644D82"/>
    <w:rsid w:val="137A50D0"/>
    <w:rsid w:val="138311B6"/>
    <w:rsid w:val="13C47EC4"/>
    <w:rsid w:val="13D601D2"/>
    <w:rsid w:val="1436311A"/>
    <w:rsid w:val="145D5190"/>
    <w:rsid w:val="14916C8C"/>
    <w:rsid w:val="14C3225D"/>
    <w:rsid w:val="14CA1511"/>
    <w:rsid w:val="14F1169D"/>
    <w:rsid w:val="14F47E4C"/>
    <w:rsid w:val="15391520"/>
    <w:rsid w:val="155933A4"/>
    <w:rsid w:val="156D10F1"/>
    <w:rsid w:val="1586671B"/>
    <w:rsid w:val="15AE27F3"/>
    <w:rsid w:val="15D51D57"/>
    <w:rsid w:val="15EA5C3B"/>
    <w:rsid w:val="16A13043"/>
    <w:rsid w:val="16BE18D4"/>
    <w:rsid w:val="16C211ED"/>
    <w:rsid w:val="1706559C"/>
    <w:rsid w:val="170725CA"/>
    <w:rsid w:val="17235DFF"/>
    <w:rsid w:val="17361D2A"/>
    <w:rsid w:val="174073F0"/>
    <w:rsid w:val="1761233F"/>
    <w:rsid w:val="176E340B"/>
    <w:rsid w:val="17751F7D"/>
    <w:rsid w:val="17865434"/>
    <w:rsid w:val="17886A58"/>
    <w:rsid w:val="17AA7AE7"/>
    <w:rsid w:val="183C5621"/>
    <w:rsid w:val="18465540"/>
    <w:rsid w:val="18495740"/>
    <w:rsid w:val="188567EF"/>
    <w:rsid w:val="189A6F17"/>
    <w:rsid w:val="18A8048A"/>
    <w:rsid w:val="18A916AA"/>
    <w:rsid w:val="18C27BE5"/>
    <w:rsid w:val="193424D5"/>
    <w:rsid w:val="194849D3"/>
    <w:rsid w:val="198D2F28"/>
    <w:rsid w:val="19E739BE"/>
    <w:rsid w:val="19EB4496"/>
    <w:rsid w:val="19FD5F15"/>
    <w:rsid w:val="1A180280"/>
    <w:rsid w:val="1A204EE5"/>
    <w:rsid w:val="1A612D2C"/>
    <w:rsid w:val="1A646DCF"/>
    <w:rsid w:val="1A66567A"/>
    <w:rsid w:val="1A675D28"/>
    <w:rsid w:val="1A71481D"/>
    <w:rsid w:val="1A736B8B"/>
    <w:rsid w:val="1A9E7257"/>
    <w:rsid w:val="1AA04351"/>
    <w:rsid w:val="1AA57272"/>
    <w:rsid w:val="1AC7227C"/>
    <w:rsid w:val="1AC83653"/>
    <w:rsid w:val="1ACE1944"/>
    <w:rsid w:val="1B4B07D1"/>
    <w:rsid w:val="1B5B6AD7"/>
    <w:rsid w:val="1B841FB4"/>
    <w:rsid w:val="1BB73391"/>
    <w:rsid w:val="1BCC77FF"/>
    <w:rsid w:val="1BDC0FF7"/>
    <w:rsid w:val="1BF80FD0"/>
    <w:rsid w:val="1C0E19EB"/>
    <w:rsid w:val="1C1056B8"/>
    <w:rsid w:val="1C170B71"/>
    <w:rsid w:val="1C9D79B3"/>
    <w:rsid w:val="1CA07F05"/>
    <w:rsid w:val="1CBF296D"/>
    <w:rsid w:val="1CDC1B35"/>
    <w:rsid w:val="1D362BD8"/>
    <w:rsid w:val="1D4E348C"/>
    <w:rsid w:val="1D535C06"/>
    <w:rsid w:val="1DA06AE0"/>
    <w:rsid w:val="1E7654DC"/>
    <w:rsid w:val="1EC45D3D"/>
    <w:rsid w:val="1ED850D8"/>
    <w:rsid w:val="1EDB1E94"/>
    <w:rsid w:val="1EE32C6E"/>
    <w:rsid w:val="1EE71699"/>
    <w:rsid w:val="1EFF2189"/>
    <w:rsid w:val="1F364D3F"/>
    <w:rsid w:val="1FD76B9C"/>
    <w:rsid w:val="203903AF"/>
    <w:rsid w:val="20BD02C4"/>
    <w:rsid w:val="20CC1330"/>
    <w:rsid w:val="20E17432"/>
    <w:rsid w:val="20E55F9D"/>
    <w:rsid w:val="20E71F9A"/>
    <w:rsid w:val="20F700D4"/>
    <w:rsid w:val="218D361E"/>
    <w:rsid w:val="21A8064F"/>
    <w:rsid w:val="21D969D2"/>
    <w:rsid w:val="222600C9"/>
    <w:rsid w:val="226E2973"/>
    <w:rsid w:val="227E0856"/>
    <w:rsid w:val="229E0564"/>
    <w:rsid w:val="22AA35D5"/>
    <w:rsid w:val="22AD07F8"/>
    <w:rsid w:val="22B40811"/>
    <w:rsid w:val="231C72B8"/>
    <w:rsid w:val="237D6A3A"/>
    <w:rsid w:val="23813C79"/>
    <w:rsid w:val="23837EA8"/>
    <w:rsid w:val="23E45806"/>
    <w:rsid w:val="249F0DDC"/>
    <w:rsid w:val="24C53B61"/>
    <w:rsid w:val="24D74C9A"/>
    <w:rsid w:val="24DC3841"/>
    <w:rsid w:val="2509549B"/>
    <w:rsid w:val="250E68CB"/>
    <w:rsid w:val="252018F5"/>
    <w:rsid w:val="25404B77"/>
    <w:rsid w:val="25566BD2"/>
    <w:rsid w:val="25AA4221"/>
    <w:rsid w:val="25BE6D5D"/>
    <w:rsid w:val="26040D1D"/>
    <w:rsid w:val="26756C74"/>
    <w:rsid w:val="26762B84"/>
    <w:rsid w:val="26831F49"/>
    <w:rsid w:val="26A50EAC"/>
    <w:rsid w:val="26E46FDE"/>
    <w:rsid w:val="26ED5FEB"/>
    <w:rsid w:val="27005726"/>
    <w:rsid w:val="27EC49F4"/>
    <w:rsid w:val="28212BDF"/>
    <w:rsid w:val="2825699B"/>
    <w:rsid w:val="28727C37"/>
    <w:rsid w:val="28972DA6"/>
    <w:rsid w:val="28F06E69"/>
    <w:rsid w:val="294951D0"/>
    <w:rsid w:val="298C0093"/>
    <w:rsid w:val="29B07CDF"/>
    <w:rsid w:val="29C63EF5"/>
    <w:rsid w:val="29F7425F"/>
    <w:rsid w:val="2A102746"/>
    <w:rsid w:val="2A152EE7"/>
    <w:rsid w:val="2A62784D"/>
    <w:rsid w:val="2A9F679A"/>
    <w:rsid w:val="2AC73267"/>
    <w:rsid w:val="2AE84EDC"/>
    <w:rsid w:val="2B514D7C"/>
    <w:rsid w:val="2B6A6CB1"/>
    <w:rsid w:val="2B705C79"/>
    <w:rsid w:val="2B8235AE"/>
    <w:rsid w:val="2B843F1D"/>
    <w:rsid w:val="2B8D6F0D"/>
    <w:rsid w:val="2B98280F"/>
    <w:rsid w:val="2BD92719"/>
    <w:rsid w:val="2C282B71"/>
    <w:rsid w:val="2C2D0FF3"/>
    <w:rsid w:val="2C5625D3"/>
    <w:rsid w:val="2C7F577D"/>
    <w:rsid w:val="2CCE75ED"/>
    <w:rsid w:val="2D0B165C"/>
    <w:rsid w:val="2D3D26B7"/>
    <w:rsid w:val="2D6B6B39"/>
    <w:rsid w:val="2D9C073C"/>
    <w:rsid w:val="2DA01915"/>
    <w:rsid w:val="2DAE45FA"/>
    <w:rsid w:val="2DFE18AC"/>
    <w:rsid w:val="2E20688D"/>
    <w:rsid w:val="2E6F6A05"/>
    <w:rsid w:val="2E9B4818"/>
    <w:rsid w:val="2ED252F2"/>
    <w:rsid w:val="2EDA51C3"/>
    <w:rsid w:val="2EEA674F"/>
    <w:rsid w:val="2EEE18B5"/>
    <w:rsid w:val="2F1201A7"/>
    <w:rsid w:val="2F296CF3"/>
    <w:rsid w:val="2F3E224B"/>
    <w:rsid w:val="2F4B4D00"/>
    <w:rsid w:val="2FF5054C"/>
    <w:rsid w:val="2FFD7709"/>
    <w:rsid w:val="30085A89"/>
    <w:rsid w:val="30087B2B"/>
    <w:rsid w:val="301D7787"/>
    <w:rsid w:val="30275C3B"/>
    <w:rsid w:val="30457157"/>
    <w:rsid w:val="304F1A6E"/>
    <w:rsid w:val="30547169"/>
    <w:rsid w:val="30931CD2"/>
    <w:rsid w:val="30C41AC2"/>
    <w:rsid w:val="31083063"/>
    <w:rsid w:val="31343C39"/>
    <w:rsid w:val="31417CB3"/>
    <w:rsid w:val="319E2262"/>
    <w:rsid w:val="31A33D88"/>
    <w:rsid w:val="31A61340"/>
    <w:rsid w:val="31DE2E20"/>
    <w:rsid w:val="31E26794"/>
    <w:rsid w:val="31FB13A7"/>
    <w:rsid w:val="321E2ACE"/>
    <w:rsid w:val="32875583"/>
    <w:rsid w:val="32A77EDB"/>
    <w:rsid w:val="32CA211F"/>
    <w:rsid w:val="32DC6517"/>
    <w:rsid w:val="32DC7485"/>
    <w:rsid w:val="32E429D5"/>
    <w:rsid w:val="33087CF4"/>
    <w:rsid w:val="333A4144"/>
    <w:rsid w:val="334C7F35"/>
    <w:rsid w:val="3371162C"/>
    <w:rsid w:val="338F274A"/>
    <w:rsid w:val="33D82FC0"/>
    <w:rsid w:val="340316D6"/>
    <w:rsid w:val="341912C6"/>
    <w:rsid w:val="342C7CD2"/>
    <w:rsid w:val="3443397A"/>
    <w:rsid w:val="34C504AA"/>
    <w:rsid w:val="34C67A2A"/>
    <w:rsid w:val="35075DF7"/>
    <w:rsid w:val="35123BC5"/>
    <w:rsid w:val="352618A8"/>
    <w:rsid w:val="352D022C"/>
    <w:rsid w:val="357671F8"/>
    <w:rsid w:val="358372F7"/>
    <w:rsid w:val="359D65CE"/>
    <w:rsid w:val="365616D9"/>
    <w:rsid w:val="365A68E4"/>
    <w:rsid w:val="365E0145"/>
    <w:rsid w:val="36D74099"/>
    <w:rsid w:val="372B424D"/>
    <w:rsid w:val="37482D6F"/>
    <w:rsid w:val="375D3BFD"/>
    <w:rsid w:val="378B5F3A"/>
    <w:rsid w:val="379B3F1E"/>
    <w:rsid w:val="37A4253C"/>
    <w:rsid w:val="37CA12D1"/>
    <w:rsid w:val="37D13CBE"/>
    <w:rsid w:val="37DE0D47"/>
    <w:rsid w:val="37ED3B10"/>
    <w:rsid w:val="37FD1FD8"/>
    <w:rsid w:val="387C5237"/>
    <w:rsid w:val="38B642D4"/>
    <w:rsid w:val="38D86ACC"/>
    <w:rsid w:val="38DA38B6"/>
    <w:rsid w:val="38EE1A5A"/>
    <w:rsid w:val="38F17CC3"/>
    <w:rsid w:val="39042240"/>
    <w:rsid w:val="39043D6B"/>
    <w:rsid w:val="39B16E9F"/>
    <w:rsid w:val="39C51BE5"/>
    <w:rsid w:val="3A5A531C"/>
    <w:rsid w:val="3A6F4D12"/>
    <w:rsid w:val="3AC6468A"/>
    <w:rsid w:val="3AE923DB"/>
    <w:rsid w:val="3B1A3291"/>
    <w:rsid w:val="3B7258AC"/>
    <w:rsid w:val="3B9647A4"/>
    <w:rsid w:val="3B9B1AB0"/>
    <w:rsid w:val="3BAB7ADE"/>
    <w:rsid w:val="3BB26B69"/>
    <w:rsid w:val="3BD45297"/>
    <w:rsid w:val="3BE058FC"/>
    <w:rsid w:val="3C0B5842"/>
    <w:rsid w:val="3C6D1C45"/>
    <w:rsid w:val="3C9A1944"/>
    <w:rsid w:val="3CE639E6"/>
    <w:rsid w:val="3CF56848"/>
    <w:rsid w:val="3CFE648A"/>
    <w:rsid w:val="3D2D542C"/>
    <w:rsid w:val="3D4200CF"/>
    <w:rsid w:val="3DA908E3"/>
    <w:rsid w:val="3DB74742"/>
    <w:rsid w:val="3DBC5465"/>
    <w:rsid w:val="3E3C61A6"/>
    <w:rsid w:val="3E3E7246"/>
    <w:rsid w:val="3EBE0FC2"/>
    <w:rsid w:val="3ED26D71"/>
    <w:rsid w:val="3F5530BE"/>
    <w:rsid w:val="3F9246F5"/>
    <w:rsid w:val="3F9D4AA5"/>
    <w:rsid w:val="3FFA719D"/>
    <w:rsid w:val="40267B30"/>
    <w:rsid w:val="40561145"/>
    <w:rsid w:val="4074305B"/>
    <w:rsid w:val="40816E0E"/>
    <w:rsid w:val="408C3F57"/>
    <w:rsid w:val="40C559FD"/>
    <w:rsid w:val="40CE2A45"/>
    <w:rsid w:val="41065219"/>
    <w:rsid w:val="410B3265"/>
    <w:rsid w:val="41146BD4"/>
    <w:rsid w:val="412731CF"/>
    <w:rsid w:val="41BF2722"/>
    <w:rsid w:val="41C170BE"/>
    <w:rsid w:val="41CE268F"/>
    <w:rsid w:val="42093A2D"/>
    <w:rsid w:val="420E3400"/>
    <w:rsid w:val="424E1D18"/>
    <w:rsid w:val="425A11D0"/>
    <w:rsid w:val="428A54D0"/>
    <w:rsid w:val="42D31E73"/>
    <w:rsid w:val="42F80DB9"/>
    <w:rsid w:val="433D5631"/>
    <w:rsid w:val="434920FE"/>
    <w:rsid w:val="43650AEA"/>
    <w:rsid w:val="43721959"/>
    <w:rsid w:val="43832A1F"/>
    <w:rsid w:val="43C152F3"/>
    <w:rsid w:val="43E216A4"/>
    <w:rsid w:val="43EF1957"/>
    <w:rsid w:val="43F65ECD"/>
    <w:rsid w:val="441640A5"/>
    <w:rsid w:val="443166C3"/>
    <w:rsid w:val="444F1338"/>
    <w:rsid w:val="4474456E"/>
    <w:rsid w:val="44AC69DE"/>
    <w:rsid w:val="44AF3BBF"/>
    <w:rsid w:val="44DB0910"/>
    <w:rsid w:val="4507170C"/>
    <w:rsid w:val="45114A92"/>
    <w:rsid w:val="451B4F32"/>
    <w:rsid w:val="459C15D8"/>
    <w:rsid w:val="464D4675"/>
    <w:rsid w:val="467852BF"/>
    <w:rsid w:val="469C5713"/>
    <w:rsid w:val="46BD5D09"/>
    <w:rsid w:val="46BE7851"/>
    <w:rsid w:val="46DA3077"/>
    <w:rsid w:val="470E18F6"/>
    <w:rsid w:val="472445D6"/>
    <w:rsid w:val="47526AC5"/>
    <w:rsid w:val="47BD6B5E"/>
    <w:rsid w:val="47C027B5"/>
    <w:rsid w:val="47D169E9"/>
    <w:rsid w:val="47D53DF1"/>
    <w:rsid w:val="47E55BC7"/>
    <w:rsid w:val="47F67274"/>
    <w:rsid w:val="480B31B5"/>
    <w:rsid w:val="488243C5"/>
    <w:rsid w:val="488D7B4C"/>
    <w:rsid w:val="48943EAA"/>
    <w:rsid w:val="489B1FBE"/>
    <w:rsid w:val="48E96410"/>
    <w:rsid w:val="49830E34"/>
    <w:rsid w:val="499A03C8"/>
    <w:rsid w:val="4A215518"/>
    <w:rsid w:val="4A404346"/>
    <w:rsid w:val="4A6570BA"/>
    <w:rsid w:val="4ABE6400"/>
    <w:rsid w:val="4AD94CFB"/>
    <w:rsid w:val="4B364FF0"/>
    <w:rsid w:val="4B7E4AC6"/>
    <w:rsid w:val="4BE32E10"/>
    <w:rsid w:val="4C4E23F3"/>
    <w:rsid w:val="4C734B9C"/>
    <w:rsid w:val="4CA51255"/>
    <w:rsid w:val="4CA636E5"/>
    <w:rsid w:val="4CFC5137"/>
    <w:rsid w:val="4D2F1722"/>
    <w:rsid w:val="4D3301F0"/>
    <w:rsid w:val="4D420F13"/>
    <w:rsid w:val="4DBC6D55"/>
    <w:rsid w:val="4E082FE7"/>
    <w:rsid w:val="4E134968"/>
    <w:rsid w:val="4E4D4728"/>
    <w:rsid w:val="4E8E7D86"/>
    <w:rsid w:val="4E9D1DEB"/>
    <w:rsid w:val="4EAA0097"/>
    <w:rsid w:val="4EAC675F"/>
    <w:rsid w:val="4EC22C4F"/>
    <w:rsid w:val="4ED00440"/>
    <w:rsid w:val="4EDF1751"/>
    <w:rsid w:val="4EF20330"/>
    <w:rsid w:val="4F07798F"/>
    <w:rsid w:val="4F0D5FEE"/>
    <w:rsid w:val="4F87720D"/>
    <w:rsid w:val="4F9732B2"/>
    <w:rsid w:val="4FC7663F"/>
    <w:rsid w:val="4FF3777C"/>
    <w:rsid w:val="50422DC3"/>
    <w:rsid w:val="507219A9"/>
    <w:rsid w:val="50993BDC"/>
    <w:rsid w:val="509A58F6"/>
    <w:rsid w:val="50DD5829"/>
    <w:rsid w:val="50E81853"/>
    <w:rsid w:val="51465D78"/>
    <w:rsid w:val="5151670C"/>
    <w:rsid w:val="519F2855"/>
    <w:rsid w:val="51E46A43"/>
    <w:rsid w:val="52097723"/>
    <w:rsid w:val="52347EC4"/>
    <w:rsid w:val="523E548E"/>
    <w:rsid w:val="526D4310"/>
    <w:rsid w:val="52BA50DF"/>
    <w:rsid w:val="52FD233D"/>
    <w:rsid w:val="530671AB"/>
    <w:rsid w:val="5319741E"/>
    <w:rsid w:val="53264C56"/>
    <w:rsid w:val="534D4558"/>
    <w:rsid w:val="535629DF"/>
    <w:rsid w:val="536C280F"/>
    <w:rsid w:val="53B353A9"/>
    <w:rsid w:val="53C144E7"/>
    <w:rsid w:val="54024CD1"/>
    <w:rsid w:val="55162991"/>
    <w:rsid w:val="554B7079"/>
    <w:rsid w:val="55897AC3"/>
    <w:rsid w:val="558C60D8"/>
    <w:rsid w:val="55A8559A"/>
    <w:rsid w:val="55BE4D0B"/>
    <w:rsid w:val="55D42BDF"/>
    <w:rsid w:val="56051D81"/>
    <w:rsid w:val="56344315"/>
    <w:rsid w:val="56765ADB"/>
    <w:rsid w:val="568A27A0"/>
    <w:rsid w:val="569C1FC0"/>
    <w:rsid w:val="57147657"/>
    <w:rsid w:val="571F7091"/>
    <w:rsid w:val="57473DF4"/>
    <w:rsid w:val="576E251B"/>
    <w:rsid w:val="57984A33"/>
    <w:rsid w:val="57EB60E4"/>
    <w:rsid w:val="580B43F6"/>
    <w:rsid w:val="584A07B9"/>
    <w:rsid w:val="585C6E35"/>
    <w:rsid w:val="587C1F1D"/>
    <w:rsid w:val="5890458F"/>
    <w:rsid w:val="58CE6D0D"/>
    <w:rsid w:val="58DA7C98"/>
    <w:rsid w:val="592277EB"/>
    <w:rsid w:val="59777BC8"/>
    <w:rsid w:val="597C1D5E"/>
    <w:rsid w:val="59EB3142"/>
    <w:rsid w:val="5A271A62"/>
    <w:rsid w:val="5A325B35"/>
    <w:rsid w:val="5A461812"/>
    <w:rsid w:val="5A4707F4"/>
    <w:rsid w:val="5ABF662D"/>
    <w:rsid w:val="5B083AEF"/>
    <w:rsid w:val="5B2341BC"/>
    <w:rsid w:val="5B334112"/>
    <w:rsid w:val="5B6B0736"/>
    <w:rsid w:val="5B742A7C"/>
    <w:rsid w:val="5B796BC3"/>
    <w:rsid w:val="5BAD3523"/>
    <w:rsid w:val="5BD47C53"/>
    <w:rsid w:val="5BE602AD"/>
    <w:rsid w:val="5C0446E4"/>
    <w:rsid w:val="5C21182E"/>
    <w:rsid w:val="5C4F6C8C"/>
    <w:rsid w:val="5C9C46FB"/>
    <w:rsid w:val="5CE074A3"/>
    <w:rsid w:val="5CED68F1"/>
    <w:rsid w:val="5CF224AE"/>
    <w:rsid w:val="5CFA6C6E"/>
    <w:rsid w:val="5D143B3E"/>
    <w:rsid w:val="5D2F6589"/>
    <w:rsid w:val="5D756B66"/>
    <w:rsid w:val="5D8D5B6D"/>
    <w:rsid w:val="5D8F55FD"/>
    <w:rsid w:val="5D9245FD"/>
    <w:rsid w:val="5DAE5F4E"/>
    <w:rsid w:val="5DC14A16"/>
    <w:rsid w:val="5DE9052F"/>
    <w:rsid w:val="5DF2066C"/>
    <w:rsid w:val="5DFF2272"/>
    <w:rsid w:val="5E1E751B"/>
    <w:rsid w:val="5EE54E9B"/>
    <w:rsid w:val="5F0B2DD5"/>
    <w:rsid w:val="5F0D5A55"/>
    <w:rsid w:val="5F182243"/>
    <w:rsid w:val="5F335D45"/>
    <w:rsid w:val="5F3C0E5D"/>
    <w:rsid w:val="5F7A0282"/>
    <w:rsid w:val="5FEA6747"/>
    <w:rsid w:val="60013FEF"/>
    <w:rsid w:val="601C4952"/>
    <w:rsid w:val="60291CEC"/>
    <w:rsid w:val="60412A2D"/>
    <w:rsid w:val="60967564"/>
    <w:rsid w:val="60AA7DFB"/>
    <w:rsid w:val="60B33CD5"/>
    <w:rsid w:val="60C1457D"/>
    <w:rsid w:val="60E757A9"/>
    <w:rsid w:val="60EA22DA"/>
    <w:rsid w:val="61120392"/>
    <w:rsid w:val="61143F11"/>
    <w:rsid w:val="61BE3084"/>
    <w:rsid w:val="61D55130"/>
    <w:rsid w:val="61E57F97"/>
    <w:rsid w:val="61E75DB8"/>
    <w:rsid w:val="622D097D"/>
    <w:rsid w:val="626831EF"/>
    <w:rsid w:val="62B15E96"/>
    <w:rsid w:val="62BF51E2"/>
    <w:rsid w:val="62D65F7A"/>
    <w:rsid w:val="62D8766B"/>
    <w:rsid w:val="62ED405E"/>
    <w:rsid w:val="633D6225"/>
    <w:rsid w:val="63531638"/>
    <w:rsid w:val="63563D20"/>
    <w:rsid w:val="638210D3"/>
    <w:rsid w:val="63AE3C76"/>
    <w:rsid w:val="63D14AD5"/>
    <w:rsid w:val="641E7A8F"/>
    <w:rsid w:val="644B0860"/>
    <w:rsid w:val="647E29EC"/>
    <w:rsid w:val="64947D72"/>
    <w:rsid w:val="64B20ECF"/>
    <w:rsid w:val="64C2452C"/>
    <w:rsid w:val="65247532"/>
    <w:rsid w:val="655B734D"/>
    <w:rsid w:val="65620DEF"/>
    <w:rsid w:val="65723CAE"/>
    <w:rsid w:val="65B315EC"/>
    <w:rsid w:val="65C21EC0"/>
    <w:rsid w:val="65E409CD"/>
    <w:rsid w:val="65EC4477"/>
    <w:rsid w:val="661009C6"/>
    <w:rsid w:val="661A3351"/>
    <w:rsid w:val="665A3A38"/>
    <w:rsid w:val="6688535A"/>
    <w:rsid w:val="66CE6C29"/>
    <w:rsid w:val="66F745EE"/>
    <w:rsid w:val="671C5C0C"/>
    <w:rsid w:val="672C3AED"/>
    <w:rsid w:val="677F5377"/>
    <w:rsid w:val="678579F1"/>
    <w:rsid w:val="67B60519"/>
    <w:rsid w:val="67C37CA9"/>
    <w:rsid w:val="67D458C3"/>
    <w:rsid w:val="67DD4823"/>
    <w:rsid w:val="67E33AA4"/>
    <w:rsid w:val="680215DB"/>
    <w:rsid w:val="681518B7"/>
    <w:rsid w:val="681A422C"/>
    <w:rsid w:val="68392C37"/>
    <w:rsid w:val="68477102"/>
    <w:rsid w:val="68B61079"/>
    <w:rsid w:val="69651E6B"/>
    <w:rsid w:val="69891DF2"/>
    <w:rsid w:val="69E674FF"/>
    <w:rsid w:val="69EE6C2B"/>
    <w:rsid w:val="6A1B1B6D"/>
    <w:rsid w:val="6A46250A"/>
    <w:rsid w:val="6A5E1D79"/>
    <w:rsid w:val="6A837FD2"/>
    <w:rsid w:val="6B0022A0"/>
    <w:rsid w:val="6B4856AF"/>
    <w:rsid w:val="6B9A0059"/>
    <w:rsid w:val="6BAA0FD2"/>
    <w:rsid w:val="6BAB6A0D"/>
    <w:rsid w:val="6BBB32AD"/>
    <w:rsid w:val="6BBF790C"/>
    <w:rsid w:val="6BD37BD6"/>
    <w:rsid w:val="6BDB55A7"/>
    <w:rsid w:val="6BFE0929"/>
    <w:rsid w:val="6C5E7CC0"/>
    <w:rsid w:val="6C714FD8"/>
    <w:rsid w:val="6C774FA4"/>
    <w:rsid w:val="6C881BF4"/>
    <w:rsid w:val="6C9741B1"/>
    <w:rsid w:val="6CBB3EA0"/>
    <w:rsid w:val="6CC924AF"/>
    <w:rsid w:val="6D822332"/>
    <w:rsid w:val="6D822D69"/>
    <w:rsid w:val="6DA91860"/>
    <w:rsid w:val="6DC45E02"/>
    <w:rsid w:val="6DE634C7"/>
    <w:rsid w:val="6DEC7532"/>
    <w:rsid w:val="6DF078DA"/>
    <w:rsid w:val="6DFA4688"/>
    <w:rsid w:val="6E0F6E9D"/>
    <w:rsid w:val="6E296080"/>
    <w:rsid w:val="6E3D1F52"/>
    <w:rsid w:val="6E4B7FA2"/>
    <w:rsid w:val="6E4E0BEF"/>
    <w:rsid w:val="6E73286E"/>
    <w:rsid w:val="6E755ABD"/>
    <w:rsid w:val="6E92607C"/>
    <w:rsid w:val="6F0124DE"/>
    <w:rsid w:val="6F3B69F4"/>
    <w:rsid w:val="6F737E29"/>
    <w:rsid w:val="6F922E75"/>
    <w:rsid w:val="6FFB087A"/>
    <w:rsid w:val="701209DC"/>
    <w:rsid w:val="705F180B"/>
    <w:rsid w:val="708B64C8"/>
    <w:rsid w:val="708D3804"/>
    <w:rsid w:val="70C644DE"/>
    <w:rsid w:val="71377341"/>
    <w:rsid w:val="7179658F"/>
    <w:rsid w:val="71924BD7"/>
    <w:rsid w:val="71AD5BE0"/>
    <w:rsid w:val="71F136DB"/>
    <w:rsid w:val="71F51AAF"/>
    <w:rsid w:val="72297B74"/>
    <w:rsid w:val="723023AC"/>
    <w:rsid w:val="72387A20"/>
    <w:rsid w:val="725309B8"/>
    <w:rsid w:val="7282415D"/>
    <w:rsid w:val="7293286E"/>
    <w:rsid w:val="72B758F1"/>
    <w:rsid w:val="72EA12BA"/>
    <w:rsid w:val="72F1740F"/>
    <w:rsid w:val="73111F08"/>
    <w:rsid w:val="732847CF"/>
    <w:rsid w:val="738335F7"/>
    <w:rsid w:val="73837542"/>
    <w:rsid w:val="73937F68"/>
    <w:rsid w:val="739417F9"/>
    <w:rsid w:val="73DD6007"/>
    <w:rsid w:val="73EE6ED5"/>
    <w:rsid w:val="73F41B55"/>
    <w:rsid w:val="73FB5C3B"/>
    <w:rsid w:val="743245DE"/>
    <w:rsid w:val="746B70D7"/>
    <w:rsid w:val="74897866"/>
    <w:rsid w:val="74C20EF8"/>
    <w:rsid w:val="74CC5705"/>
    <w:rsid w:val="74DE403A"/>
    <w:rsid w:val="75056112"/>
    <w:rsid w:val="75361384"/>
    <w:rsid w:val="756C44E1"/>
    <w:rsid w:val="75F94F21"/>
    <w:rsid w:val="76134D34"/>
    <w:rsid w:val="762246E4"/>
    <w:rsid w:val="762C1A00"/>
    <w:rsid w:val="7631252D"/>
    <w:rsid w:val="7662101C"/>
    <w:rsid w:val="7663591E"/>
    <w:rsid w:val="768A6244"/>
    <w:rsid w:val="769E03BF"/>
    <w:rsid w:val="769E0E20"/>
    <w:rsid w:val="76A122E5"/>
    <w:rsid w:val="771B3D1D"/>
    <w:rsid w:val="77852F26"/>
    <w:rsid w:val="77887E91"/>
    <w:rsid w:val="779E42D6"/>
    <w:rsid w:val="780A76A4"/>
    <w:rsid w:val="782409C7"/>
    <w:rsid w:val="782749FB"/>
    <w:rsid w:val="7831066C"/>
    <w:rsid w:val="786B697F"/>
    <w:rsid w:val="786F27C2"/>
    <w:rsid w:val="789474AD"/>
    <w:rsid w:val="78B16F07"/>
    <w:rsid w:val="78B9410F"/>
    <w:rsid w:val="78CC1EA3"/>
    <w:rsid w:val="79592D36"/>
    <w:rsid w:val="799C150E"/>
    <w:rsid w:val="7A4F6B39"/>
    <w:rsid w:val="7AA932B4"/>
    <w:rsid w:val="7AC12B27"/>
    <w:rsid w:val="7ACC3C13"/>
    <w:rsid w:val="7ADF1227"/>
    <w:rsid w:val="7B1449A2"/>
    <w:rsid w:val="7B29035B"/>
    <w:rsid w:val="7B3724FD"/>
    <w:rsid w:val="7B414965"/>
    <w:rsid w:val="7B4C1658"/>
    <w:rsid w:val="7B823E79"/>
    <w:rsid w:val="7BC324A4"/>
    <w:rsid w:val="7BD96EDF"/>
    <w:rsid w:val="7BF2108F"/>
    <w:rsid w:val="7C697D10"/>
    <w:rsid w:val="7C6E211C"/>
    <w:rsid w:val="7C6F11A2"/>
    <w:rsid w:val="7CE0777E"/>
    <w:rsid w:val="7CF724CF"/>
    <w:rsid w:val="7D1A5B89"/>
    <w:rsid w:val="7D287BB6"/>
    <w:rsid w:val="7D48358B"/>
    <w:rsid w:val="7D4C6EF7"/>
    <w:rsid w:val="7D542C8D"/>
    <w:rsid w:val="7D584226"/>
    <w:rsid w:val="7D5C33EA"/>
    <w:rsid w:val="7DA35C7A"/>
    <w:rsid w:val="7DB81CB1"/>
    <w:rsid w:val="7DE866D4"/>
    <w:rsid w:val="7DEC192F"/>
    <w:rsid w:val="7E1C3782"/>
    <w:rsid w:val="7E1D3067"/>
    <w:rsid w:val="7E2C79E5"/>
    <w:rsid w:val="7E2D50E2"/>
    <w:rsid w:val="7E3B1D76"/>
    <w:rsid w:val="7E401AED"/>
    <w:rsid w:val="7E58507B"/>
    <w:rsid w:val="7E7F7D53"/>
    <w:rsid w:val="7EA23A50"/>
    <w:rsid w:val="7EB86FA8"/>
    <w:rsid w:val="7EBD2859"/>
    <w:rsid w:val="7ECF118C"/>
    <w:rsid w:val="7EE61546"/>
    <w:rsid w:val="7F0E25B0"/>
    <w:rsid w:val="7F2960B4"/>
    <w:rsid w:val="7F7369A7"/>
    <w:rsid w:val="7F885229"/>
    <w:rsid w:val="7F9F4444"/>
    <w:rsid w:val="7FA95E2D"/>
    <w:rsid w:val="7FE63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27"/>
    <w:qFormat/>
    <w:uiPriority w:val="0"/>
    <w:pPr>
      <w:outlineLvl w:val="0"/>
    </w:p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numPr>
        <w:ilvl w:val="0"/>
        <w:numId w:val="1"/>
      </w:numPr>
      <w:adjustRightInd/>
      <w:spacing w:before="120" w:after="120" w:line="360" w:lineRule="auto"/>
      <w:jc w:val="both"/>
      <w:outlineLvl w:val="3"/>
    </w:pPr>
    <w:rPr>
      <w:rFonts w:ascii="Times New Roman" w:eastAsia="仿宋_GB2312"/>
      <w:b/>
      <w:kern w:val="2"/>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tabs>
        <w:tab w:val="left" w:pos="720"/>
      </w:tabs>
      <w:autoSpaceDE w:val="0"/>
      <w:autoSpaceDN w:val="0"/>
      <w:adjustRightInd w:val="0"/>
      <w:snapToGrid w:val="0"/>
      <w:spacing w:line="360" w:lineRule="auto"/>
      <w:ind w:left="624" w:hanging="624"/>
    </w:pPr>
    <w:rPr>
      <w:rFonts w:ascii="宋体" w:hAnsi="宋体" w:eastAsia="宋体"/>
      <w:color w:val="000000"/>
    </w:rPr>
  </w:style>
  <w:style w:type="paragraph" w:customStyle="1" w:styleId="6">
    <w:name w:val="正文缩进1"/>
    <w:basedOn w:val="1"/>
    <w:link w:val="28"/>
    <w:qFormat/>
    <w:uiPriority w:val="0"/>
    <w:pPr>
      <w:ind w:firstLine="420" w:firstLineChars="200"/>
    </w:p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81"/>
    <w:qFormat/>
    <w:uiPriority w:val="0"/>
    <w:rPr>
      <w:sz w:val="18"/>
      <w:szCs w:val="18"/>
    </w:rPr>
  </w:style>
  <w:style w:type="paragraph" w:styleId="9">
    <w:name w:val="annotation text"/>
    <w:basedOn w:val="1"/>
    <w:link w:val="78"/>
    <w:qFormat/>
    <w:uiPriority w:val="0"/>
  </w:style>
  <w:style w:type="paragraph" w:styleId="10">
    <w:name w:val="Body Text"/>
    <w:basedOn w:val="1"/>
    <w:next w:val="1"/>
    <w:qFormat/>
    <w:uiPriority w:val="0"/>
    <w:pPr>
      <w:ind w:right="-26"/>
      <w:jc w:val="center"/>
    </w:pPr>
    <w:rPr>
      <w:b/>
      <w:bCs/>
      <w:kern w:val="2"/>
      <w:sz w:val="84"/>
      <w:szCs w:val="84"/>
      <w:lang w:val="zh-CN"/>
    </w:rPr>
  </w:style>
  <w:style w:type="paragraph" w:styleId="11">
    <w:name w:val="Plain Text"/>
    <w:basedOn w:val="1"/>
    <w:link w:val="77"/>
    <w:qFormat/>
    <w:uiPriority w:val="0"/>
    <w:pPr>
      <w:autoSpaceDE/>
      <w:autoSpaceDN/>
      <w:adjustRightInd/>
      <w:jc w:val="both"/>
    </w:pPr>
    <w:rPr>
      <w:rFonts w:hAnsi="Courier New"/>
      <w:kern w:val="2"/>
      <w:sz w:val="21"/>
    </w:rPr>
  </w:style>
  <w:style w:type="paragraph" w:styleId="12">
    <w:name w:val="Balloon Text"/>
    <w:basedOn w:val="1"/>
    <w:link w:val="80"/>
    <w:qFormat/>
    <w:uiPriority w:val="0"/>
    <w:rPr>
      <w:sz w:val="18"/>
      <w:szCs w:val="18"/>
    </w:rPr>
  </w:style>
  <w:style w:type="paragraph" w:styleId="13">
    <w:name w:val="footer"/>
    <w:basedOn w:val="1"/>
    <w:link w:val="33"/>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sz w:val="18"/>
    </w:rPr>
  </w:style>
  <w:style w:type="paragraph" w:styleId="15">
    <w:name w:val="toc 1"/>
    <w:basedOn w:val="1"/>
    <w:next w:val="1"/>
    <w:qFormat/>
    <w:uiPriority w:val="0"/>
  </w:style>
  <w:style w:type="paragraph" w:styleId="16">
    <w:name w:val="Body Text Indent 3"/>
    <w:basedOn w:val="1"/>
    <w:semiHidden/>
    <w:unhideWhenUsed/>
    <w:qFormat/>
    <w:uiPriority w:val="99"/>
    <w:pPr>
      <w:autoSpaceDE w:val="0"/>
      <w:autoSpaceDN w:val="0"/>
      <w:adjustRightInd w:val="0"/>
      <w:spacing w:line="360" w:lineRule="auto"/>
      <w:ind w:firstLine="480" w:firstLineChars="200"/>
      <w:jc w:val="left"/>
    </w:pPr>
    <w:rPr>
      <w:rFonts w:ascii="宋体" w:hAnsi="Times New Roman" w:eastAsia="微软雅黑" w:cs="Times New Roman"/>
      <w:kern w:val="0"/>
      <w:sz w:val="24"/>
      <w:szCs w:val="24"/>
    </w:rPr>
  </w:style>
  <w:style w:type="paragraph" w:styleId="17">
    <w:name w:val="Body Text 2"/>
    <w:basedOn w:val="1"/>
    <w:semiHidden/>
    <w:unhideWhenUsed/>
    <w:qFormat/>
    <w:uiPriority w:val="99"/>
    <w:pPr>
      <w:tabs>
        <w:tab w:val="left" w:pos="0"/>
      </w:tabs>
      <w:spacing w:line="400" w:lineRule="atLeast"/>
    </w:pPr>
    <w:rPr>
      <w:rFonts w:ascii="Arial" w:hAnsi="Arial" w:eastAsia="微软雅黑" w:cs="Times New Roman"/>
      <w:color w:val="000000"/>
      <w:szCs w:val="24"/>
    </w:rPr>
  </w:style>
  <w:style w:type="paragraph" w:styleId="18">
    <w:name w:val="Normal (Web)"/>
    <w:basedOn w:val="1"/>
    <w:qFormat/>
    <w:uiPriority w:val="0"/>
    <w:pPr>
      <w:spacing w:beforeAutospacing="1" w:afterAutospacing="1"/>
    </w:pPr>
    <w:rPr>
      <w:rFonts w:ascii="Calibri" w:hAnsi="Calibri"/>
    </w:rPr>
  </w:style>
  <w:style w:type="paragraph" w:styleId="19">
    <w:name w:val="annotation subject"/>
    <w:basedOn w:val="9"/>
    <w:next w:val="9"/>
    <w:link w:val="79"/>
    <w:qFormat/>
    <w:uiPriority w:val="0"/>
    <w:rPr>
      <w:b/>
      <w:bCs/>
    </w:rPr>
  </w:style>
  <w:style w:type="paragraph" w:styleId="20">
    <w:name w:val="Body Text First Indent"/>
    <w:basedOn w:val="10"/>
    <w:semiHidden/>
    <w:unhideWhenUsed/>
    <w:qFormat/>
    <w:uiPriority w:val="99"/>
    <w:pPr>
      <w:spacing w:line="240" w:lineRule="auto"/>
      <w:ind w:firstLine="420" w:firstLineChars="100"/>
    </w:pPr>
    <w:rPr>
      <w:rFonts w:ascii="Times New Roman" w:hAnsi="Times New Roman"/>
    </w:rPr>
  </w:style>
  <w:style w:type="table" w:styleId="22">
    <w:name w:val="Table Grid"/>
    <w:basedOn w:val="21"/>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qFormat/>
    <w:uiPriority w:val="0"/>
    <w:rPr>
      <w:b/>
      <w:bCs/>
    </w:rPr>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标题 1 Char"/>
    <w:link w:val="3"/>
    <w:semiHidden/>
    <w:qFormat/>
    <w:uiPriority w:val="0"/>
    <w:rPr>
      <w:rFonts w:ascii="宋体" w:eastAsia="宋体"/>
      <w:sz w:val="24"/>
      <w:szCs w:val="24"/>
      <w:lang w:val="en-US" w:eastAsia="zh-CN" w:bidi="ar-SA"/>
    </w:rPr>
  </w:style>
  <w:style w:type="character" w:customStyle="1" w:styleId="28">
    <w:name w:val="正文缩进 Char"/>
    <w:link w:val="6"/>
    <w:semiHidden/>
    <w:qFormat/>
    <w:uiPriority w:val="0"/>
    <w:rPr>
      <w:rFonts w:ascii="宋体" w:eastAsia="宋体"/>
      <w:sz w:val="24"/>
      <w:szCs w:val="24"/>
      <w:lang w:val="en-US" w:eastAsia="zh-CN" w:bidi="ar-SA"/>
    </w:rPr>
  </w:style>
  <w:style w:type="character" w:customStyle="1" w:styleId="29">
    <w:name w:val="纯文本 Char"/>
    <w:link w:val="30"/>
    <w:semiHidden/>
    <w:qFormat/>
    <w:uiPriority w:val="0"/>
    <w:rPr>
      <w:rFonts w:ascii="宋体" w:hAnsi="Courier New" w:eastAsia="宋体"/>
      <w:kern w:val="2"/>
      <w:sz w:val="21"/>
      <w:szCs w:val="24"/>
      <w:lang w:val="en-US" w:eastAsia="zh-CN" w:bidi="ar-SA"/>
    </w:rPr>
  </w:style>
  <w:style w:type="paragraph" w:customStyle="1" w:styleId="30">
    <w:name w:val="纯文本1"/>
    <w:basedOn w:val="1"/>
    <w:link w:val="29"/>
    <w:qFormat/>
    <w:uiPriority w:val="0"/>
    <w:pPr>
      <w:adjustRightInd/>
      <w:jc w:val="both"/>
    </w:pPr>
    <w:rPr>
      <w:rFonts w:hAnsi="Courier New"/>
      <w:kern w:val="2"/>
      <w:sz w:val="21"/>
    </w:rPr>
  </w:style>
  <w:style w:type="character" w:customStyle="1" w:styleId="31">
    <w:name w:val="正文文本缩进 2 Char"/>
    <w:link w:val="32"/>
    <w:semiHidden/>
    <w:qFormat/>
    <w:uiPriority w:val="0"/>
    <w:rPr>
      <w:rFonts w:ascii="宋体"/>
      <w:sz w:val="24"/>
      <w:szCs w:val="24"/>
    </w:rPr>
  </w:style>
  <w:style w:type="paragraph" w:customStyle="1" w:styleId="32">
    <w:name w:val="正文文本缩进 21"/>
    <w:basedOn w:val="1"/>
    <w:link w:val="31"/>
    <w:qFormat/>
    <w:uiPriority w:val="0"/>
    <w:pPr>
      <w:spacing w:after="120" w:line="480" w:lineRule="auto"/>
      <w:ind w:left="420" w:leftChars="200"/>
    </w:pPr>
  </w:style>
  <w:style w:type="character" w:customStyle="1" w:styleId="33">
    <w:name w:val="页脚 Char"/>
    <w:link w:val="13"/>
    <w:semiHidden/>
    <w:qFormat/>
    <w:uiPriority w:val="0"/>
    <w:rPr>
      <w:rFonts w:ascii="宋体"/>
      <w:sz w:val="18"/>
      <w:szCs w:val="24"/>
    </w:rPr>
  </w:style>
  <w:style w:type="paragraph" w:customStyle="1" w:styleId="34">
    <w:name w:val="批注框文本 Char Char"/>
    <w:basedOn w:val="1"/>
    <w:qFormat/>
    <w:uiPriority w:val="0"/>
    <w:rPr>
      <w:sz w:val="18"/>
      <w:szCs w:val="18"/>
    </w:rPr>
  </w:style>
  <w:style w:type="paragraph" w:customStyle="1" w:styleId="35">
    <w:name w:val="正文文本缩进 31"/>
    <w:basedOn w:val="1"/>
    <w:qFormat/>
    <w:uiPriority w:val="0"/>
    <w:pPr>
      <w:spacing w:line="360" w:lineRule="auto"/>
      <w:ind w:firstLine="480" w:firstLineChars="200"/>
    </w:pPr>
  </w:style>
  <w:style w:type="paragraph" w:customStyle="1" w:styleId="36">
    <w:name w:val="批注主题1"/>
    <w:basedOn w:val="9"/>
    <w:next w:val="9"/>
    <w:qFormat/>
    <w:uiPriority w:val="0"/>
    <w:rPr>
      <w:b/>
      <w:bCs/>
    </w:rPr>
  </w:style>
  <w:style w:type="paragraph" w:customStyle="1" w:styleId="37">
    <w:name w:val="文档结构图1"/>
    <w:basedOn w:val="1"/>
    <w:qFormat/>
    <w:uiPriority w:val="0"/>
    <w:pPr>
      <w:shd w:val="clear" w:color="auto" w:fill="000080"/>
    </w:pPr>
  </w:style>
  <w:style w:type="paragraph" w:customStyle="1" w:styleId="38">
    <w:name w:val="_Style 11"/>
    <w:basedOn w:val="1"/>
    <w:qFormat/>
    <w:uiPriority w:val="0"/>
    <w:pPr>
      <w:adjustRightInd/>
      <w:jc w:val="both"/>
    </w:pPr>
    <w:rPr>
      <w:rFonts w:hAnsi="宋体"/>
      <w:b/>
      <w:kern w:val="2"/>
      <w:sz w:val="28"/>
      <w:szCs w:val="28"/>
    </w:rPr>
  </w:style>
  <w:style w:type="paragraph" w:customStyle="1" w:styleId="39">
    <w:name w:val="普通(网站)1"/>
    <w:basedOn w:val="1"/>
    <w:qFormat/>
    <w:uiPriority w:val="0"/>
    <w:pPr>
      <w:widowControl/>
      <w:adjustRightInd/>
      <w:spacing w:before="100" w:beforeAutospacing="1" w:after="100" w:afterAutospacing="1"/>
    </w:pPr>
    <w:rPr>
      <w:rFonts w:hAnsi="宋体"/>
      <w:sz w:val="15"/>
      <w:szCs w:val="15"/>
    </w:rPr>
  </w:style>
  <w:style w:type="paragraph" w:customStyle="1" w:styleId="40">
    <w:name w:val="索引 11"/>
    <w:basedOn w:val="1"/>
    <w:next w:val="1"/>
    <w:qFormat/>
    <w:uiPriority w:val="0"/>
    <w:pPr>
      <w:adjustRightInd/>
      <w:ind w:left="540" w:leftChars="257"/>
      <w:jc w:val="both"/>
    </w:pPr>
    <w:rPr>
      <w:rFonts w:ascii="Arial" w:hAnsi="Arial" w:cs="Arial"/>
      <w:kern w:val="2"/>
      <w:sz w:val="21"/>
    </w:rPr>
  </w:style>
  <w:style w:type="paragraph" w:customStyle="1" w:styleId="41">
    <w:name w:val="索引标题1"/>
    <w:basedOn w:val="1"/>
    <w:next w:val="40"/>
    <w:qFormat/>
    <w:uiPriority w:val="0"/>
    <w:pPr>
      <w:adjustRightInd/>
      <w:jc w:val="both"/>
    </w:pPr>
    <w:rPr>
      <w:rFonts w:ascii="Times New Roman"/>
      <w:kern w:val="2"/>
      <w:sz w:val="21"/>
      <w:szCs w:val="20"/>
    </w:rPr>
  </w:style>
  <w:style w:type="paragraph" w:customStyle="1" w:styleId="42">
    <w:name w:val="正文文本缩进1"/>
    <w:basedOn w:val="1"/>
    <w:qFormat/>
    <w:uiPriority w:val="0"/>
    <w:pPr>
      <w:adjustRightInd/>
      <w:ind w:left="567" w:leftChars="270"/>
      <w:jc w:val="both"/>
    </w:pPr>
    <w:rPr>
      <w:rFonts w:ascii="Times New Roman"/>
      <w:kern w:val="2"/>
      <w:sz w:val="21"/>
      <w:szCs w:val="20"/>
    </w:rPr>
  </w:style>
  <w:style w:type="paragraph" w:customStyle="1" w:styleId="43">
    <w:name w:val="正文文本 31"/>
    <w:basedOn w:val="1"/>
    <w:qFormat/>
    <w:uiPriority w:val="0"/>
    <w:pPr>
      <w:ind w:right="-26"/>
      <w:jc w:val="center"/>
    </w:pPr>
    <w:rPr>
      <w:b/>
      <w:bCs/>
      <w:color w:val="3366FF"/>
      <w:kern w:val="2"/>
      <w:sz w:val="52"/>
      <w:szCs w:val="52"/>
      <w:lang w:val="zh-CN"/>
    </w:rPr>
  </w:style>
  <w:style w:type="paragraph" w:customStyle="1" w:styleId="44">
    <w:name w:val="1"/>
    <w:basedOn w:val="1"/>
    <w:qFormat/>
    <w:uiPriority w:val="0"/>
    <w:pPr>
      <w:widowControl/>
      <w:adjustRightInd/>
      <w:spacing w:after="160" w:line="240" w:lineRule="exact"/>
    </w:pPr>
    <w:rPr>
      <w:rFonts w:ascii="Verdana" w:hAnsi="Verdana" w:eastAsia="楷体_GB2312"/>
      <w:b/>
      <w:i/>
      <w:iCs/>
      <w:color w:val="000000"/>
      <w:sz w:val="20"/>
      <w:szCs w:val="20"/>
      <w:lang w:eastAsia="en-US"/>
    </w:rPr>
  </w:style>
  <w:style w:type="paragraph" w:customStyle="1" w:styleId="45">
    <w:name w:val="p0"/>
    <w:basedOn w:val="1"/>
    <w:qFormat/>
    <w:uiPriority w:val="0"/>
    <w:pPr>
      <w:widowControl/>
      <w:adjustRightInd/>
      <w:jc w:val="both"/>
    </w:pPr>
    <w:rPr>
      <w:rFonts w:ascii="Times New Roman"/>
      <w:sz w:val="21"/>
      <w:szCs w:val="21"/>
    </w:rPr>
  </w:style>
  <w:style w:type="paragraph" w:customStyle="1" w:styleId="46">
    <w:name w:val="列出段落1"/>
    <w:basedOn w:val="1"/>
    <w:qFormat/>
    <w:uiPriority w:val="0"/>
    <w:pPr>
      <w:ind w:firstLine="420" w:firstLineChars="200"/>
    </w:pPr>
    <w:rPr>
      <w:rFonts w:ascii="Calibri" w:hAnsi="Calibri"/>
      <w:sz w:val="28"/>
      <w:szCs w:val="22"/>
    </w:rPr>
  </w:style>
  <w:style w:type="paragraph" w:customStyle="1" w:styleId="47">
    <w:name w:val="Char Char Char Char Char Char Char Char Char Char Char1 Char Char Char Char"/>
    <w:basedOn w:val="1"/>
    <w:qFormat/>
    <w:uiPriority w:val="0"/>
    <w:pPr>
      <w:tabs>
        <w:tab w:val="left" w:pos="1320"/>
      </w:tabs>
      <w:ind w:left="360" w:hanging="360"/>
    </w:pPr>
    <w:rPr>
      <w:rFonts w:ascii="Times New Roman"/>
      <w:bCs/>
    </w:rPr>
  </w:style>
  <w:style w:type="paragraph" w:customStyle="1" w:styleId="48">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9">
    <w:name w:val="题注5"/>
    <w:basedOn w:val="1"/>
    <w:next w:val="7"/>
    <w:qFormat/>
    <w:uiPriority w:val="0"/>
    <w:pPr>
      <w:adjustRightInd/>
      <w:jc w:val="center"/>
    </w:pPr>
    <w:rPr>
      <w:rFonts w:ascii="Times New Roman"/>
      <w:b/>
      <w:color w:val="000000"/>
      <w:kern w:val="2"/>
      <w:szCs w:val="21"/>
    </w:rPr>
  </w:style>
  <w:style w:type="paragraph" w:customStyle="1" w:styleId="50">
    <w:name w:val="Char Char Char Char Char Char Char Char Char Char"/>
    <w:basedOn w:val="1"/>
    <w:qFormat/>
    <w:uiPriority w:val="0"/>
    <w:pPr>
      <w:widowControl/>
      <w:adjustRightInd/>
      <w:spacing w:after="160" w:line="240" w:lineRule="exact"/>
    </w:pPr>
  </w:style>
  <w:style w:type="paragraph" w:customStyle="1" w:styleId="51">
    <w:name w:val="图"/>
    <w:basedOn w:val="1"/>
    <w:qFormat/>
    <w:uiPriority w:val="0"/>
    <w:pPr>
      <w:keepNext/>
      <w:spacing w:before="60" w:after="60" w:line="300" w:lineRule="auto"/>
      <w:jc w:val="center"/>
      <w:textAlignment w:val="center"/>
    </w:pPr>
    <w:rPr>
      <w:rFonts w:ascii="Times New Roman"/>
      <w:snapToGrid w:val="0"/>
      <w:spacing w:val="20"/>
      <w:szCs w:val="20"/>
    </w:rPr>
  </w:style>
  <w:style w:type="paragraph" w:customStyle="1" w:styleId="52">
    <w:name w:val="p15"/>
    <w:basedOn w:val="1"/>
    <w:qFormat/>
    <w:uiPriority w:val="0"/>
    <w:pPr>
      <w:widowControl/>
      <w:adjustRightInd/>
      <w:spacing w:before="100" w:after="100"/>
    </w:pPr>
    <w:rPr>
      <w:rFonts w:hAnsi="宋体" w:cs="宋体"/>
    </w:rPr>
  </w:style>
  <w:style w:type="paragraph" w:customStyle="1" w:styleId="53">
    <w:name w:val="列出段落2"/>
    <w:basedOn w:val="1"/>
    <w:qFormat/>
    <w:uiPriority w:val="0"/>
    <w:pPr>
      <w:adjustRightInd/>
      <w:ind w:firstLine="420" w:firstLineChars="200"/>
      <w:jc w:val="both"/>
    </w:pPr>
    <w:rPr>
      <w:rFonts w:ascii="Calibri" w:hAnsi="Calibri"/>
      <w:kern w:val="2"/>
      <w:sz w:val="21"/>
      <w:szCs w:val="22"/>
    </w:rPr>
  </w:style>
  <w:style w:type="paragraph" w:customStyle="1" w:styleId="54">
    <w:name w:val="保留正文"/>
    <w:basedOn w:val="10"/>
    <w:qFormat/>
    <w:uiPriority w:val="0"/>
    <w:pPr>
      <w:keepNext/>
      <w:adjustRightInd/>
      <w:spacing w:after="160"/>
      <w:ind w:right="0"/>
      <w:jc w:val="both"/>
    </w:pPr>
    <w:rPr>
      <w:rFonts w:ascii="Times New Roman"/>
      <w:b w:val="0"/>
      <w:bCs w:val="0"/>
      <w:sz w:val="21"/>
      <w:szCs w:val="24"/>
      <w:lang w:val="en-US"/>
    </w:rPr>
  </w:style>
  <w:style w:type="paragraph" w:customStyle="1" w:styleId="55">
    <w:name w:val="Char Char Char Char Char Char Char Char Char Char1"/>
    <w:basedOn w:val="1"/>
    <w:qFormat/>
    <w:uiPriority w:val="0"/>
    <w:pPr>
      <w:widowControl/>
      <w:adjustRightInd/>
      <w:spacing w:after="160" w:line="240" w:lineRule="exact"/>
    </w:pPr>
  </w:style>
  <w:style w:type="paragraph" w:customStyle="1" w:styleId="56">
    <w:name w:val="_Style 34"/>
    <w:basedOn w:val="1"/>
    <w:qFormat/>
    <w:uiPriority w:val="0"/>
    <w:pPr>
      <w:numPr>
        <w:ilvl w:val="0"/>
        <w:numId w:val="2"/>
      </w:numPr>
      <w:adjustRightInd/>
      <w:jc w:val="both"/>
    </w:pPr>
    <w:rPr>
      <w:rFonts w:ascii="Times New Roman"/>
      <w:kern w:val="2"/>
    </w:rPr>
  </w:style>
  <w:style w:type="paragraph" w:customStyle="1" w:styleId="57">
    <w:name w:val="表格文字"/>
    <w:basedOn w:val="58"/>
    <w:next w:val="10"/>
    <w:qFormat/>
    <w:uiPriority w:val="0"/>
    <w:pPr>
      <w:adjustRightInd/>
      <w:spacing w:before="25" w:after="25"/>
    </w:pPr>
    <w:rPr>
      <w:rFonts w:ascii="Times New Roman"/>
      <w:bCs/>
      <w:spacing w:val="10"/>
      <w:szCs w:val="20"/>
    </w:rPr>
  </w:style>
  <w:style w:type="paragraph" w:customStyle="1" w:styleId="58">
    <w:name w:val="正文 New New New New New New New New New New New New New New New New New New New New New New New New New New New New New New New New New New New New"/>
    <w:next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_Style 1"/>
    <w:basedOn w:val="1"/>
    <w:qFormat/>
    <w:uiPriority w:val="0"/>
    <w:pPr>
      <w:widowControl/>
      <w:spacing w:after="160" w:line="240" w:lineRule="exact"/>
    </w:pPr>
  </w:style>
  <w:style w:type="paragraph" w:customStyle="1" w:styleId="60">
    <w:name w:val="p16"/>
    <w:basedOn w:val="1"/>
    <w:qFormat/>
    <w:uiPriority w:val="0"/>
    <w:pPr>
      <w:widowControl/>
      <w:adjustRightInd/>
    </w:pPr>
    <w:rPr>
      <w:rFonts w:ascii="Calibri" w:hAnsi="Calibri" w:cs="宋体"/>
    </w:rPr>
  </w:style>
  <w:style w:type="character" w:customStyle="1" w:styleId="61">
    <w:name w:val="页码1"/>
    <w:basedOn w:val="23"/>
    <w:qFormat/>
    <w:uiPriority w:val="0"/>
  </w:style>
  <w:style w:type="character" w:customStyle="1" w:styleId="62">
    <w:name w:val="批注引用1"/>
    <w:qFormat/>
    <w:uiPriority w:val="0"/>
    <w:rPr>
      <w:sz w:val="21"/>
      <w:szCs w:val="21"/>
    </w:rPr>
  </w:style>
  <w:style w:type="character" w:customStyle="1" w:styleId="63">
    <w:name w:val="普通文字 Char Char1"/>
    <w:qFormat/>
    <w:uiPriority w:val="0"/>
    <w:rPr>
      <w:rFonts w:ascii="宋体" w:hAnsi="Courier New" w:eastAsia="宋体"/>
      <w:kern w:val="2"/>
      <w:sz w:val="21"/>
      <w:szCs w:val="24"/>
      <w:lang w:val="en-US" w:eastAsia="zh-CN" w:bidi="ar-SA"/>
    </w:rPr>
  </w:style>
  <w:style w:type="character" w:customStyle="1" w:styleId="64">
    <w:name w:val="font21"/>
    <w:qFormat/>
    <w:uiPriority w:val="0"/>
    <w:rPr>
      <w:rFonts w:hint="default" w:ascii="Times New Roman" w:hAnsi="Times New Roman" w:eastAsia="宋体" w:cs="Times New Roman"/>
      <w:color w:val="000000"/>
      <w:kern w:val="2"/>
      <w:sz w:val="21"/>
      <w:szCs w:val="21"/>
      <w:u w:val="none"/>
      <w:lang w:val="en-US" w:eastAsia="zh-CN" w:bidi="ar-SA"/>
    </w:rPr>
  </w:style>
  <w:style w:type="character" w:customStyle="1" w:styleId="65">
    <w:name w:val="style711"/>
    <w:qFormat/>
    <w:uiPriority w:val="0"/>
    <w:rPr>
      <w:rFonts w:eastAsia="宋体"/>
      <w:color w:val="000000"/>
      <w:kern w:val="2"/>
      <w:sz w:val="18"/>
      <w:szCs w:val="18"/>
      <w:lang w:val="en-US" w:eastAsia="zh-CN" w:bidi="ar-SA"/>
    </w:rPr>
  </w:style>
  <w:style w:type="character" w:customStyle="1" w:styleId="66">
    <w:name w:val="style21"/>
    <w:qFormat/>
    <w:uiPriority w:val="0"/>
    <w:rPr>
      <w:rFonts w:eastAsia="宋体"/>
      <w:b/>
      <w:color w:val="0060A6"/>
      <w:kern w:val="2"/>
      <w:sz w:val="18"/>
      <w:szCs w:val="18"/>
      <w:lang w:val="en-US" w:eastAsia="zh-CN" w:bidi="ar-SA"/>
    </w:rPr>
  </w:style>
  <w:style w:type="character" w:customStyle="1" w:styleId="67">
    <w:name w:val="Char Char"/>
    <w:qFormat/>
    <w:uiPriority w:val="0"/>
    <w:rPr>
      <w:rFonts w:ascii="宋体" w:hAnsi="Courier New" w:eastAsia="宋体"/>
      <w:kern w:val="2"/>
      <w:sz w:val="21"/>
      <w:szCs w:val="24"/>
      <w:lang w:val="en-US" w:eastAsia="zh-CN" w:bidi="ar-SA"/>
    </w:rPr>
  </w:style>
  <w:style w:type="character" w:customStyle="1" w:styleId="68">
    <w:name w:val="err-product5"/>
    <w:qFormat/>
    <w:uiPriority w:val="0"/>
    <w:rPr>
      <w:rFonts w:eastAsia="宋体"/>
      <w:kern w:val="2"/>
      <w:sz w:val="24"/>
      <w:szCs w:val="24"/>
      <w:lang w:val="en-US" w:eastAsia="zh-CN" w:bidi="ar-SA"/>
    </w:rPr>
  </w:style>
  <w:style w:type="character" w:customStyle="1" w:styleId="69">
    <w:name w:val="param-name1"/>
    <w:qFormat/>
    <w:uiPriority w:val="0"/>
    <w:rPr>
      <w:rFonts w:eastAsia="宋体"/>
      <w:b/>
      <w:kern w:val="2"/>
      <w:sz w:val="24"/>
      <w:szCs w:val="24"/>
      <w:lang w:val="en-US" w:eastAsia="zh-CN" w:bidi="ar-SA"/>
    </w:rPr>
  </w:style>
  <w:style w:type="character" w:customStyle="1" w:styleId="70">
    <w:name w:val="style72"/>
    <w:qFormat/>
    <w:uiPriority w:val="0"/>
    <w:rPr>
      <w:rFonts w:eastAsia="宋体"/>
      <w:color w:val="666666"/>
      <w:kern w:val="2"/>
      <w:sz w:val="18"/>
      <w:szCs w:val="18"/>
      <w:lang w:val="en-US" w:eastAsia="zh-CN" w:bidi="ar-SA"/>
    </w:rPr>
  </w:style>
  <w:style w:type="character" w:customStyle="1" w:styleId="71">
    <w:name w:val="font31"/>
    <w:basedOn w:val="23"/>
    <w:qFormat/>
    <w:uiPriority w:val="0"/>
    <w:rPr>
      <w:rFonts w:hint="eastAsia" w:ascii="宋体" w:hAnsi="宋体" w:eastAsia="宋体" w:cs="宋体"/>
      <w:color w:val="000000"/>
      <w:kern w:val="2"/>
      <w:sz w:val="21"/>
      <w:szCs w:val="21"/>
      <w:u w:val="none"/>
      <w:lang w:val="en-US" w:eastAsia="zh-CN" w:bidi="ar-SA"/>
    </w:rPr>
  </w:style>
  <w:style w:type="character" w:customStyle="1" w:styleId="72">
    <w:name w:val="font41"/>
    <w:qFormat/>
    <w:uiPriority w:val="0"/>
    <w:rPr>
      <w:rFonts w:ascii="宋体" w:hAnsi="宋体" w:eastAsia="宋体" w:cs="宋体"/>
      <w:color w:val="000000"/>
      <w:sz w:val="21"/>
      <w:szCs w:val="21"/>
      <w:u w:val="none"/>
    </w:rPr>
  </w:style>
  <w:style w:type="paragraph" w:customStyle="1" w:styleId="73">
    <w:name w:val="普通(网站)11"/>
    <w:basedOn w:val="1"/>
    <w:qFormat/>
    <w:uiPriority w:val="99"/>
    <w:pPr>
      <w:widowControl/>
      <w:adjustRightInd/>
      <w:spacing w:before="100" w:beforeAutospacing="1" w:after="100" w:afterAutospacing="1"/>
    </w:pPr>
    <w:rPr>
      <w:rFonts w:hAnsi="宋体"/>
      <w:sz w:val="15"/>
      <w:szCs w:val="15"/>
    </w:rPr>
  </w:style>
  <w:style w:type="paragraph" w:customStyle="1" w:styleId="74">
    <w:name w:val="Default"/>
    <w:qFormat/>
    <w:uiPriority w:val="99"/>
    <w:pPr>
      <w:widowControl w:val="0"/>
      <w:autoSpaceDE w:val="0"/>
      <w:autoSpaceDN w:val="0"/>
      <w:adjustRightInd w:val="0"/>
    </w:pPr>
    <w:rPr>
      <w:rFonts w:ascii="宋体_." w:hAnsi="Calibri" w:eastAsia="宋体_." w:cs="宋体_."/>
      <w:color w:val="000000"/>
      <w:sz w:val="24"/>
      <w:szCs w:val="24"/>
      <w:lang w:val="en-US" w:eastAsia="zh-CN" w:bidi="ar-SA"/>
    </w:rPr>
  </w:style>
  <w:style w:type="character" w:customStyle="1" w:styleId="75">
    <w:name w:val="font11"/>
    <w:qFormat/>
    <w:uiPriority w:val="0"/>
    <w:rPr>
      <w:rFonts w:ascii="Tahoma" w:hAnsi="Tahoma" w:eastAsia="Tahoma" w:cs="Tahoma"/>
      <w:color w:val="000000"/>
      <w:sz w:val="20"/>
      <w:szCs w:val="20"/>
      <w:u w:val="none"/>
    </w:rPr>
  </w:style>
  <w:style w:type="character" w:customStyle="1" w:styleId="76">
    <w:name w:val="font01"/>
    <w:qFormat/>
    <w:uiPriority w:val="0"/>
    <w:rPr>
      <w:rFonts w:hint="eastAsia" w:ascii="宋体" w:hAnsi="宋体" w:eastAsia="宋体" w:cs="宋体"/>
      <w:color w:val="000000"/>
      <w:sz w:val="21"/>
      <w:szCs w:val="21"/>
      <w:u w:val="none"/>
    </w:rPr>
  </w:style>
  <w:style w:type="character" w:customStyle="1" w:styleId="77">
    <w:name w:val="纯文本 Char1"/>
    <w:link w:val="11"/>
    <w:qFormat/>
    <w:uiPriority w:val="0"/>
    <w:rPr>
      <w:rFonts w:ascii="宋体" w:hAnsi="Courier New"/>
      <w:kern w:val="2"/>
      <w:sz w:val="21"/>
      <w:szCs w:val="24"/>
    </w:rPr>
  </w:style>
  <w:style w:type="character" w:customStyle="1" w:styleId="78">
    <w:name w:val="批注文字 Char"/>
    <w:link w:val="9"/>
    <w:qFormat/>
    <w:uiPriority w:val="0"/>
    <w:rPr>
      <w:rFonts w:ascii="宋体"/>
      <w:sz w:val="24"/>
      <w:szCs w:val="24"/>
    </w:rPr>
  </w:style>
  <w:style w:type="character" w:customStyle="1" w:styleId="79">
    <w:name w:val="批注主题 Char"/>
    <w:link w:val="19"/>
    <w:qFormat/>
    <w:uiPriority w:val="0"/>
    <w:rPr>
      <w:rFonts w:ascii="宋体"/>
      <w:b/>
      <w:bCs/>
      <w:sz w:val="24"/>
      <w:szCs w:val="24"/>
    </w:rPr>
  </w:style>
  <w:style w:type="character" w:customStyle="1" w:styleId="80">
    <w:name w:val="批注框文本 Char"/>
    <w:link w:val="12"/>
    <w:qFormat/>
    <w:uiPriority w:val="0"/>
    <w:rPr>
      <w:rFonts w:ascii="宋体"/>
      <w:sz w:val="18"/>
      <w:szCs w:val="18"/>
    </w:rPr>
  </w:style>
  <w:style w:type="character" w:customStyle="1" w:styleId="81">
    <w:name w:val="文档结构图 Char"/>
    <w:basedOn w:val="23"/>
    <w:link w:val="8"/>
    <w:qFormat/>
    <w:uiPriority w:val="0"/>
    <w:rPr>
      <w:rFonts w:ascii="宋体"/>
      <w:sz w:val="18"/>
      <w:szCs w:val="18"/>
    </w:rPr>
  </w:style>
  <w:style w:type="paragraph" w:styleId="82">
    <w:name w:val="List Paragraph"/>
    <w:basedOn w:val="1"/>
    <w:qFormat/>
    <w:uiPriority w:val="34"/>
    <w:pPr>
      <w:autoSpaceDE/>
      <w:autoSpaceDN/>
      <w:adjustRightInd/>
      <w:ind w:firstLine="420" w:firstLineChars="200"/>
      <w:jc w:val="both"/>
    </w:pPr>
    <w:rPr>
      <w:rFonts w:hAnsi="宋体"/>
      <w:b/>
      <w:kern w:val="2"/>
      <w:sz w:val="21"/>
    </w:rPr>
  </w:style>
  <w:style w:type="character" w:customStyle="1" w:styleId="83">
    <w:name w:val="fontstyle01"/>
    <w:basedOn w:val="23"/>
    <w:qFormat/>
    <w:uiPriority w:val="0"/>
    <w:rPr>
      <w:rFonts w:hint="eastAsia" w:ascii="宋体" w:hAnsi="宋体" w:eastAsia="宋体"/>
      <w:color w:val="000000"/>
      <w:sz w:val="28"/>
      <w:szCs w:val="28"/>
    </w:rPr>
  </w:style>
  <w:style w:type="paragraph" w:customStyle="1" w:styleId="84">
    <w:name w:val="_Style 3"/>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条一"/>
    <w:basedOn w:val="3"/>
    <w:qFormat/>
    <w:uiPriority w:val="0"/>
    <w:pPr>
      <w:spacing w:before="0" w:after="0" w:line="300" w:lineRule="auto"/>
    </w:pPr>
    <w:rPr>
      <w:rFonts w:ascii="宋体" w:hAnsi="宋体" w:cstheme="minorBidi"/>
      <w:sz w:val="21"/>
      <w:szCs w:val="21"/>
    </w:rPr>
  </w:style>
  <w:style w:type="paragraph" w:customStyle="1" w:styleId="8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32319</Words>
  <Characters>33567</Characters>
  <Lines>286</Lines>
  <Paragraphs>80</Paragraphs>
  <TotalTime>12</TotalTime>
  <ScaleCrop>false</ScaleCrop>
  <LinksUpToDate>false</LinksUpToDate>
  <CharactersWithSpaces>34459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2021-04-28T02:44:00Z</dcterms:created>
  <dc:creator>Administrator</dc:creator>
  <cp:lastModifiedBy>xiao</cp:lastModifiedBy>
  <cp:lastPrinted>2022-10-14T05:08:00Z</cp:lastPrinted>
  <dcterms:modified xsi:type="dcterms:W3CDTF">2023-04-07T03:30:02Z</dcterms:modified>
  <dc:title>walkinnet</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D83E15078FA441B98A80320362536EFB_13</vt:lpwstr>
  </property>
</Properties>
</file>