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default" w:eastAsia="宋体" w:cs="宋体"/>
          <w:color w:val="auto"/>
          <w:spacing w:val="26"/>
          <w:sz w:val="44"/>
          <w:szCs w:val="44"/>
          <w:lang w:val="en-US"/>
        </w:rPr>
      </w:pPr>
      <w:r>
        <w:rPr>
          <w:color w:val="auto"/>
        </w:rPr>
        <w:drawing>
          <wp:anchor distT="0" distB="0" distL="114300" distR="114300" simplePos="0" relativeHeight="251661312" behindDoc="0" locked="0" layoutInCell="1" allowOverlap="1">
            <wp:simplePos x="0" y="0"/>
            <wp:positionH relativeFrom="page">
              <wp:posOffset>2776855</wp:posOffset>
            </wp:positionH>
            <wp:positionV relativeFrom="paragraph">
              <wp:posOffset>451485</wp:posOffset>
            </wp:positionV>
            <wp:extent cx="1842135" cy="1701800"/>
            <wp:effectExtent l="0" t="0" r="5715" b="1270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l="15063" t="19231" r="16025" b="17307"/>
                    <a:stretch>
                      <a:fillRect/>
                    </a:stretch>
                  </pic:blipFill>
                  <pic:spPr>
                    <a:xfrm>
                      <a:off x="0" y="0"/>
                      <a:ext cx="1842135" cy="1701800"/>
                    </a:xfrm>
                    <a:prstGeom prst="rect">
                      <a:avLst/>
                    </a:prstGeom>
                    <a:noFill/>
                  </pic:spPr>
                </pic:pic>
              </a:graphicData>
            </a:graphic>
          </wp:anchor>
        </w:drawing>
      </w:r>
    </w:p>
    <w:p>
      <w:pPr>
        <w:snapToGrid w:val="0"/>
        <w:spacing w:line="360" w:lineRule="auto"/>
        <w:jc w:val="center"/>
        <w:rPr>
          <w:rFonts w:eastAsia="宋体" w:cs="宋体"/>
          <w:color w:val="auto"/>
          <w:spacing w:val="26"/>
          <w:sz w:val="44"/>
          <w:szCs w:val="44"/>
        </w:rPr>
      </w:pPr>
    </w:p>
    <w:p>
      <w:pPr>
        <w:snapToGrid w:val="0"/>
        <w:spacing w:line="360" w:lineRule="auto"/>
        <w:jc w:val="center"/>
        <w:rPr>
          <w:rFonts w:eastAsia="宋体" w:cs="宋体"/>
          <w:color w:val="auto"/>
          <w:spacing w:val="26"/>
          <w:sz w:val="44"/>
          <w:szCs w:val="44"/>
        </w:rPr>
      </w:pPr>
    </w:p>
    <w:p>
      <w:pPr>
        <w:snapToGrid w:val="0"/>
        <w:spacing w:line="360" w:lineRule="auto"/>
        <w:ind w:firstLine="984"/>
        <w:jc w:val="center"/>
        <w:rPr>
          <w:rFonts w:eastAsia="宋体" w:cs="宋体"/>
          <w:color w:val="auto"/>
          <w:spacing w:val="26"/>
          <w:sz w:val="44"/>
          <w:szCs w:val="44"/>
        </w:rPr>
      </w:pPr>
    </w:p>
    <w:p>
      <w:pPr>
        <w:snapToGrid w:val="0"/>
        <w:spacing w:line="360" w:lineRule="auto"/>
        <w:ind w:firstLine="196" w:firstLineChars="40"/>
        <w:jc w:val="center"/>
        <w:rPr>
          <w:rFonts w:eastAsia="宋体" w:cs="宋体"/>
          <w:color w:val="auto"/>
          <w:spacing w:val="26"/>
          <w:sz w:val="44"/>
          <w:szCs w:val="44"/>
        </w:rPr>
      </w:pPr>
    </w:p>
    <w:p>
      <w:pPr>
        <w:pStyle w:val="2"/>
        <w:rPr>
          <w:color w:val="auto"/>
        </w:rPr>
      </w:pPr>
    </w:p>
    <w:p>
      <w:pPr>
        <w:pStyle w:val="2"/>
        <w:rPr>
          <w:color w:val="auto"/>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color w:val="auto"/>
          <w:spacing w:val="20"/>
          <w:kern w:val="10"/>
          <w:sz w:val="44"/>
          <w:szCs w:val="44"/>
        </w:rPr>
      </w:pPr>
      <w:r>
        <w:rPr>
          <w:rFonts w:hint="eastAsia" w:ascii="方正小标宋简体" w:hAnsi="方正小标宋简体" w:eastAsia="方正小标宋简体" w:cs="方正小标宋简体"/>
          <w:b w:val="0"/>
          <w:bCs/>
          <w:color w:val="auto"/>
          <w:spacing w:val="20"/>
          <w:kern w:val="10"/>
          <w:sz w:val="72"/>
          <w:szCs w:val="72"/>
          <w:lang w:eastAsia="zh-CN"/>
        </w:rPr>
        <w:t>竞争性谈判</w:t>
      </w:r>
      <w:r>
        <w:rPr>
          <w:rFonts w:hint="eastAsia" w:ascii="方正小标宋简体" w:hAnsi="方正小标宋简体" w:eastAsia="方正小标宋简体" w:cs="方正小标宋简体"/>
          <w:b w:val="0"/>
          <w:bCs/>
          <w:color w:val="auto"/>
          <w:spacing w:val="20"/>
          <w:kern w:val="10"/>
          <w:sz w:val="72"/>
          <w:szCs w:val="72"/>
        </w:rPr>
        <w:t>文件</w:t>
      </w:r>
    </w:p>
    <w:p>
      <w:pPr>
        <w:spacing w:line="360" w:lineRule="auto"/>
        <w:ind w:firstLine="1716" w:firstLineChars="600"/>
        <w:rPr>
          <w:rFonts w:hint="eastAsia" w:ascii="黑体" w:hAnsi="黑体" w:eastAsia="黑体" w:cs="黑体"/>
          <w:b w:val="0"/>
          <w:bCs/>
          <w:color w:val="auto"/>
          <w:spacing w:val="-17"/>
          <w:sz w:val="32"/>
          <w:szCs w:val="32"/>
          <w:lang w:eastAsia="zh-CN"/>
        </w:rPr>
      </w:pPr>
    </w:p>
    <w:p>
      <w:pPr>
        <w:spacing w:line="360" w:lineRule="auto"/>
        <w:jc w:val="center"/>
        <w:rPr>
          <w:rFonts w:hint="eastAsia" w:ascii="黑体" w:hAnsi="黑体" w:eastAsia="黑体" w:cs="黑体"/>
          <w:b w:val="0"/>
          <w:bCs/>
          <w:color w:val="auto"/>
          <w:spacing w:val="-17"/>
          <w:sz w:val="36"/>
          <w:szCs w:val="36"/>
          <w:lang w:eastAsia="zh-CN"/>
        </w:rPr>
      </w:pPr>
      <w:r>
        <w:rPr>
          <w:rFonts w:hint="eastAsia" w:ascii="黑体" w:hAnsi="黑体" w:eastAsia="黑体" w:cs="黑体"/>
          <w:b w:val="0"/>
          <w:bCs/>
          <w:color w:val="auto"/>
          <w:spacing w:val="-17"/>
          <w:sz w:val="36"/>
          <w:szCs w:val="36"/>
          <w:lang w:eastAsia="zh-CN"/>
        </w:rPr>
        <w:t>项目名称：洗衣房洗涤用品采购项目（第二次）</w:t>
      </w:r>
    </w:p>
    <w:p>
      <w:pPr>
        <w:spacing w:line="360" w:lineRule="auto"/>
        <w:jc w:val="center"/>
        <w:rPr>
          <w:rFonts w:hint="eastAsia" w:ascii="黑体" w:hAnsi="黑体" w:eastAsia="黑体" w:cs="黑体"/>
          <w:b w:val="0"/>
          <w:bCs/>
          <w:color w:val="auto"/>
          <w:spacing w:val="-17"/>
          <w:sz w:val="36"/>
          <w:szCs w:val="36"/>
          <w:lang w:eastAsia="zh-CN"/>
        </w:rPr>
      </w:pPr>
      <w:r>
        <w:rPr>
          <w:rFonts w:hint="eastAsia" w:ascii="黑体" w:hAnsi="黑体" w:eastAsia="黑体" w:cs="黑体"/>
          <w:b w:val="0"/>
          <w:bCs/>
          <w:color w:val="auto"/>
          <w:spacing w:val="-17"/>
          <w:sz w:val="36"/>
          <w:szCs w:val="36"/>
          <w:lang w:eastAsia="zh-CN"/>
        </w:rPr>
        <w:t>项目编号：NFQYCG2023002</w:t>
      </w:r>
    </w:p>
    <w:p>
      <w:pPr>
        <w:spacing w:line="360" w:lineRule="auto"/>
        <w:jc w:val="center"/>
        <w:rPr>
          <w:rFonts w:hint="default" w:ascii="黑体" w:hAnsi="黑体" w:eastAsia="黑体" w:cs="黑体"/>
          <w:b w:val="0"/>
          <w:bCs/>
          <w:color w:val="auto"/>
          <w:spacing w:val="-17"/>
          <w:sz w:val="36"/>
          <w:szCs w:val="36"/>
          <w:lang w:val="en-US" w:eastAsia="zh-CN"/>
        </w:rPr>
      </w:pPr>
      <w:r>
        <w:rPr>
          <w:rFonts w:hint="eastAsia" w:ascii="黑体" w:hAnsi="黑体" w:eastAsia="黑体" w:cs="黑体"/>
          <w:b w:val="0"/>
          <w:bCs/>
          <w:color w:val="auto"/>
          <w:spacing w:val="-17"/>
          <w:sz w:val="36"/>
          <w:szCs w:val="36"/>
          <w:lang w:val="en-US" w:eastAsia="zh-CN"/>
        </w:rPr>
        <w:t>委托编号：</w:t>
      </w:r>
      <w:r>
        <w:rPr>
          <w:rFonts w:hint="eastAsia" w:ascii="黑体" w:hAnsi="黑体" w:eastAsia="黑体" w:cs="黑体"/>
          <w:b w:val="0"/>
          <w:bCs/>
          <w:color w:val="auto"/>
          <w:spacing w:val="-17"/>
          <w:sz w:val="36"/>
          <w:szCs w:val="36"/>
          <w:lang w:eastAsia="zh-CN"/>
        </w:rPr>
        <w:t>GDYD230006</w:t>
      </w:r>
    </w:p>
    <w:p>
      <w:pPr>
        <w:pStyle w:val="84"/>
        <w:rPr>
          <w:rFonts w:hint="eastAsia"/>
          <w:color w:val="auto"/>
        </w:rPr>
      </w:pPr>
    </w:p>
    <w:p>
      <w:pPr>
        <w:pStyle w:val="84"/>
        <w:rPr>
          <w:rFonts w:hint="eastAsia"/>
          <w:color w:val="auto"/>
        </w:rPr>
      </w:pPr>
    </w:p>
    <w:p>
      <w:pPr>
        <w:pStyle w:val="16"/>
        <w:rPr>
          <w:rFonts w:hint="eastAsia"/>
          <w:color w:val="auto"/>
        </w:rPr>
      </w:pPr>
    </w:p>
    <w:p>
      <w:pPr>
        <w:pStyle w:val="16"/>
        <w:rPr>
          <w:rFonts w:hint="eastAsia"/>
          <w:color w:val="auto"/>
        </w:rPr>
      </w:pPr>
    </w:p>
    <w:p>
      <w:pPr>
        <w:spacing w:line="360" w:lineRule="auto"/>
        <w:ind w:firstLine="1716" w:firstLineChars="600"/>
        <w:rPr>
          <w:rFonts w:hint="eastAsia" w:ascii="黑体" w:hAnsi="黑体" w:eastAsia="黑体" w:cs="黑体"/>
          <w:b w:val="0"/>
          <w:bCs/>
          <w:color w:val="auto"/>
          <w:spacing w:val="-17"/>
          <w:sz w:val="32"/>
          <w:szCs w:val="32"/>
          <w:lang w:eastAsia="zh-CN"/>
        </w:rPr>
      </w:pPr>
      <w:r>
        <w:rPr>
          <w:rFonts w:hint="eastAsia" w:ascii="黑体" w:hAnsi="黑体" w:eastAsia="黑体" w:cs="黑体"/>
          <w:b w:val="0"/>
          <w:bCs/>
          <w:color w:val="auto"/>
          <w:spacing w:val="-17"/>
          <w:sz w:val="32"/>
          <w:szCs w:val="32"/>
          <w:lang w:eastAsia="zh-CN"/>
        </w:rPr>
        <w:t>采</w:t>
      </w:r>
      <w:r>
        <w:rPr>
          <w:rFonts w:hint="eastAsia" w:ascii="黑体" w:hAnsi="黑体" w:eastAsia="黑体" w:cs="黑体"/>
          <w:b w:val="0"/>
          <w:bCs/>
          <w:color w:val="auto"/>
          <w:spacing w:val="-17"/>
          <w:sz w:val="32"/>
          <w:szCs w:val="32"/>
          <w:lang w:val="en-US" w:eastAsia="zh-CN"/>
        </w:rPr>
        <w:t xml:space="preserve"> </w:t>
      </w:r>
      <w:r>
        <w:rPr>
          <w:rFonts w:hint="eastAsia" w:ascii="黑体" w:hAnsi="黑体" w:eastAsia="黑体" w:cs="黑体"/>
          <w:b w:val="0"/>
          <w:bCs/>
          <w:color w:val="auto"/>
          <w:spacing w:val="-17"/>
          <w:sz w:val="32"/>
          <w:szCs w:val="32"/>
          <w:lang w:eastAsia="zh-CN"/>
        </w:rPr>
        <w:t>购</w:t>
      </w:r>
      <w:r>
        <w:rPr>
          <w:rFonts w:hint="eastAsia" w:ascii="黑体" w:hAnsi="黑体" w:eastAsia="黑体" w:cs="黑体"/>
          <w:b w:val="0"/>
          <w:bCs/>
          <w:color w:val="auto"/>
          <w:spacing w:val="-17"/>
          <w:sz w:val="32"/>
          <w:szCs w:val="32"/>
          <w:lang w:val="en-US" w:eastAsia="zh-CN"/>
        </w:rPr>
        <w:t xml:space="preserve"> </w:t>
      </w:r>
      <w:r>
        <w:rPr>
          <w:rFonts w:hint="eastAsia" w:ascii="黑体" w:hAnsi="黑体" w:eastAsia="黑体" w:cs="黑体"/>
          <w:b w:val="0"/>
          <w:bCs/>
          <w:color w:val="auto"/>
          <w:spacing w:val="-17"/>
          <w:sz w:val="32"/>
          <w:szCs w:val="32"/>
          <w:lang w:eastAsia="zh-CN"/>
        </w:rPr>
        <w:t>人：南方医科大学第七附属医院</w:t>
      </w:r>
    </w:p>
    <w:p>
      <w:pPr>
        <w:spacing w:line="360" w:lineRule="auto"/>
        <w:ind w:firstLine="1080" w:firstLineChars="300"/>
        <w:rPr>
          <w:rFonts w:hint="eastAsia" w:ascii="黑体" w:hAnsi="黑体" w:eastAsia="黑体" w:cs="黑体"/>
          <w:b w:val="0"/>
          <w:bCs/>
          <w:color w:val="auto"/>
          <w:spacing w:val="0"/>
          <w:kern w:val="10"/>
          <w:sz w:val="32"/>
          <w:szCs w:val="32"/>
          <w:lang w:val="en-US" w:eastAsia="zh-CN"/>
        </w:rPr>
      </w:pPr>
      <w:r>
        <w:rPr>
          <w:rFonts w:hint="eastAsia" w:ascii="黑体" w:hAnsi="黑体" w:eastAsia="黑体" w:cs="黑体"/>
          <w:b w:val="0"/>
          <w:bCs/>
          <w:color w:val="auto"/>
          <w:spacing w:val="20"/>
          <w:kern w:val="10"/>
          <w:sz w:val="32"/>
          <w:szCs w:val="32"/>
          <w:lang w:eastAsia="zh-CN"/>
        </w:rPr>
        <w:t>采购代理机构：</w:t>
      </w:r>
      <w:r>
        <w:rPr>
          <w:rFonts w:hint="eastAsia" w:ascii="黑体" w:hAnsi="黑体" w:eastAsia="黑体" w:cs="黑体"/>
          <w:b w:val="0"/>
          <w:bCs/>
          <w:color w:val="auto"/>
          <w:spacing w:val="0"/>
          <w:kern w:val="10"/>
          <w:sz w:val="32"/>
          <w:szCs w:val="32"/>
        </w:rPr>
        <w:t>广东远东招标代理有限公司</w:t>
      </w:r>
      <w:r>
        <w:rPr>
          <w:rFonts w:hint="eastAsia" w:ascii="黑体" w:hAnsi="黑体" w:eastAsia="黑体" w:cs="黑体"/>
          <w:b w:val="0"/>
          <w:bCs/>
          <w:color w:val="auto"/>
          <w:spacing w:val="0"/>
          <w:kern w:val="10"/>
          <w:sz w:val="32"/>
          <w:szCs w:val="32"/>
          <w:lang w:val="en-US" w:eastAsia="zh-CN"/>
        </w:rPr>
        <w:t xml:space="preserve">  </w:t>
      </w:r>
    </w:p>
    <w:p>
      <w:pPr>
        <w:tabs>
          <w:tab w:val="center" w:pos="4365"/>
          <w:tab w:val="left" w:pos="7635"/>
        </w:tabs>
        <w:spacing w:line="360" w:lineRule="auto"/>
        <w:jc w:val="center"/>
        <w:rPr>
          <w:rFonts w:hint="eastAsia" w:ascii="黑体" w:hAnsi="黑体" w:eastAsia="黑体" w:cs="黑体"/>
          <w:b w:val="0"/>
          <w:bCs/>
          <w:color w:val="auto"/>
          <w:spacing w:val="0"/>
          <w:kern w:val="10"/>
          <w:sz w:val="32"/>
          <w:szCs w:val="32"/>
        </w:rPr>
      </w:pPr>
    </w:p>
    <w:p>
      <w:pPr>
        <w:tabs>
          <w:tab w:val="center" w:pos="4365"/>
          <w:tab w:val="left" w:pos="7635"/>
        </w:tabs>
        <w:spacing w:line="360" w:lineRule="auto"/>
        <w:jc w:val="center"/>
        <w:rPr>
          <w:rFonts w:hint="eastAsia" w:ascii="黑体" w:hAnsi="黑体" w:eastAsia="黑体" w:cs="黑体"/>
          <w:b w:val="0"/>
          <w:bCs/>
          <w:color w:val="auto"/>
          <w:spacing w:val="20"/>
          <w:kern w:val="10"/>
          <w:sz w:val="32"/>
          <w:szCs w:val="32"/>
        </w:rPr>
      </w:pPr>
      <w:r>
        <w:rPr>
          <w:rFonts w:hint="eastAsia" w:ascii="黑体" w:hAnsi="黑体" w:eastAsia="黑体" w:cs="黑体"/>
          <w:b w:val="0"/>
          <w:bCs/>
          <w:color w:val="auto"/>
          <w:spacing w:val="0"/>
          <w:kern w:val="10"/>
          <w:sz w:val="32"/>
          <w:szCs w:val="32"/>
        </w:rPr>
        <w:t>202</w:t>
      </w:r>
      <w:r>
        <w:rPr>
          <w:rFonts w:hint="eastAsia" w:ascii="黑体" w:hAnsi="黑体" w:eastAsia="黑体" w:cs="黑体"/>
          <w:b w:val="0"/>
          <w:bCs/>
          <w:color w:val="auto"/>
          <w:spacing w:val="0"/>
          <w:kern w:val="10"/>
          <w:sz w:val="32"/>
          <w:szCs w:val="32"/>
          <w:lang w:val="en-US" w:eastAsia="zh-CN"/>
        </w:rPr>
        <w:t>3</w:t>
      </w:r>
      <w:r>
        <w:rPr>
          <w:rFonts w:hint="eastAsia" w:ascii="黑体" w:hAnsi="黑体" w:eastAsia="黑体" w:cs="黑体"/>
          <w:b w:val="0"/>
          <w:bCs/>
          <w:color w:val="auto"/>
          <w:spacing w:val="0"/>
          <w:kern w:val="10"/>
          <w:sz w:val="32"/>
          <w:szCs w:val="32"/>
        </w:rPr>
        <w:t>年</w:t>
      </w:r>
      <w:r>
        <w:rPr>
          <w:rFonts w:hint="eastAsia" w:ascii="黑体" w:hAnsi="黑体" w:eastAsia="黑体" w:cs="黑体"/>
          <w:b w:val="0"/>
          <w:bCs/>
          <w:color w:val="auto"/>
          <w:spacing w:val="0"/>
          <w:kern w:val="10"/>
          <w:sz w:val="32"/>
          <w:szCs w:val="32"/>
          <w:lang w:val="en-US" w:eastAsia="zh-CN"/>
        </w:rPr>
        <w:t>4</w:t>
      </w:r>
      <w:r>
        <w:rPr>
          <w:rFonts w:hint="eastAsia" w:ascii="黑体" w:hAnsi="黑体" w:eastAsia="黑体" w:cs="黑体"/>
          <w:b w:val="0"/>
          <w:bCs/>
          <w:color w:val="auto"/>
          <w:spacing w:val="0"/>
          <w:kern w:val="10"/>
          <w:sz w:val="32"/>
          <w:szCs w:val="32"/>
        </w:rPr>
        <w:t>月</w:t>
      </w:r>
    </w:p>
    <w:p>
      <w:pPr>
        <w:widowControl/>
        <w:ind w:right="-26"/>
        <w:textAlignment w:val="bottom"/>
        <w:rPr>
          <w:rFonts w:hAnsi="宋体"/>
          <w:b/>
          <w:color w:val="auto"/>
          <w:sz w:val="44"/>
        </w:rPr>
      </w:pPr>
    </w:p>
    <w:p>
      <w:pPr>
        <w:pStyle w:val="15"/>
        <w:rPr>
          <w:color w:val="auto"/>
        </w:rPr>
      </w:pPr>
    </w:p>
    <w:p>
      <w:pPr>
        <w:pageBreakBefore/>
        <w:tabs>
          <w:tab w:val="left" w:pos="4125"/>
        </w:tabs>
        <w:spacing w:line="360" w:lineRule="auto"/>
        <w:ind w:right="-34"/>
        <w:rPr>
          <w:rFonts w:hAnsi="宋体"/>
          <w:b/>
          <w:bCs/>
          <w:color w:val="auto"/>
          <w:kern w:val="2"/>
          <w:sz w:val="32"/>
          <w:szCs w:val="32"/>
          <w:lang w:val="zh-CN"/>
        </w:rPr>
        <w:sectPr>
          <w:headerReference r:id="rId3" w:type="default"/>
          <w:type w:val="continuous"/>
          <w:pgSz w:w="11907" w:h="16840"/>
          <w:pgMar w:top="1440" w:right="1417" w:bottom="1440" w:left="1474" w:header="794" w:footer="437" w:gutter="0"/>
          <w:cols w:space="720" w:num="1"/>
          <w:docGrid w:linePitch="285" w:charSpace="0"/>
        </w:sectPr>
      </w:pPr>
    </w:p>
    <w:p>
      <w:pPr>
        <w:pageBreakBefore/>
        <w:tabs>
          <w:tab w:val="left" w:pos="4125"/>
        </w:tabs>
        <w:spacing w:line="360" w:lineRule="auto"/>
        <w:ind w:right="-34"/>
        <w:rPr>
          <w:rFonts w:hAnsi="宋体"/>
          <w:b/>
          <w:bCs/>
          <w:color w:val="auto"/>
          <w:kern w:val="2"/>
          <w:sz w:val="32"/>
          <w:szCs w:val="32"/>
          <w:lang w:val="zh-CN"/>
        </w:rPr>
      </w:pPr>
      <w:r>
        <w:rPr>
          <w:rFonts w:hAnsi="宋体"/>
          <w:b/>
          <w:bCs/>
          <w:color w:val="auto"/>
          <w:kern w:val="2"/>
          <w:sz w:val="32"/>
          <w:szCs w:val="32"/>
          <w:lang w:val="zh-CN"/>
        </w:rPr>
        <w:tab/>
      </w:r>
    </w:p>
    <w:p>
      <w:pPr>
        <w:spacing w:line="360" w:lineRule="auto"/>
        <w:ind w:right="16"/>
        <w:jc w:val="center"/>
        <w:rPr>
          <w:rFonts w:hAnsi="宋体"/>
          <w:b/>
          <w:bCs/>
          <w:color w:val="auto"/>
          <w:kern w:val="2"/>
          <w:sz w:val="36"/>
          <w:szCs w:val="36"/>
          <w:lang w:val="zh-CN"/>
        </w:rPr>
      </w:pPr>
      <w:r>
        <w:rPr>
          <w:rFonts w:hint="eastAsia" w:hAnsi="宋体"/>
          <w:b/>
          <w:bCs/>
          <w:color w:val="auto"/>
          <w:kern w:val="2"/>
          <w:sz w:val="36"/>
          <w:szCs w:val="36"/>
          <w:lang w:val="zh-CN"/>
        </w:rPr>
        <w:t>目 录</w:t>
      </w:r>
    </w:p>
    <w:p>
      <w:pPr>
        <w:spacing w:line="360" w:lineRule="auto"/>
        <w:ind w:right="16"/>
        <w:jc w:val="center"/>
        <w:rPr>
          <w:rFonts w:hAnsi="宋体"/>
          <w:color w:val="auto"/>
          <w:kern w:val="2"/>
          <w:sz w:val="21"/>
          <w:szCs w:val="21"/>
          <w:lang w:val="zh-CN"/>
        </w:rPr>
      </w:pPr>
    </w:p>
    <w:p>
      <w:pPr>
        <w:pStyle w:val="15"/>
        <w:keepNext w:val="0"/>
        <w:keepLines w:val="0"/>
        <w:pageBreakBefore w:val="0"/>
        <w:widowControl w:val="0"/>
        <w:tabs>
          <w:tab w:val="right" w:pos="2800"/>
          <w:tab w:val="right" w:leader="dot" w:pos="9016"/>
        </w:tabs>
        <w:kinsoku/>
        <w:wordWrap/>
        <w:overflowPunct/>
        <w:topLinePunct w:val="0"/>
        <w:autoSpaceDE w:val="0"/>
        <w:autoSpaceDN w:val="0"/>
        <w:bidi w:val="0"/>
        <w:adjustRightInd w:val="0"/>
        <w:snapToGrid/>
        <w:spacing w:line="600" w:lineRule="exact"/>
        <w:ind w:firstLine="562" w:firstLineChars="200"/>
        <w:textAlignment w:val="auto"/>
        <w:rPr>
          <w:color w:val="auto"/>
          <w:sz w:val="32"/>
          <w:szCs w:val="32"/>
        </w:rPr>
      </w:pPr>
      <w:r>
        <w:rPr>
          <w:rFonts w:hint="eastAsia" w:hAnsi="宋体"/>
          <w:b/>
          <w:bCs/>
          <w:color w:val="auto"/>
          <w:kern w:val="2"/>
          <w:sz w:val="28"/>
          <w:szCs w:val="28"/>
          <w:lang w:val="zh-CN"/>
        </w:rPr>
        <w:fldChar w:fldCharType="begin"/>
      </w:r>
      <w:r>
        <w:rPr>
          <w:rFonts w:hint="eastAsia" w:hAnsi="宋体"/>
          <w:b/>
          <w:bCs/>
          <w:color w:val="auto"/>
          <w:kern w:val="2"/>
          <w:sz w:val="28"/>
          <w:szCs w:val="28"/>
          <w:lang w:val="zh-CN"/>
        </w:rPr>
        <w:instrText xml:space="preserve">TOC \o "1-1" \h \u </w:instrText>
      </w:r>
      <w:r>
        <w:rPr>
          <w:rFonts w:hint="eastAsia" w:hAnsi="宋体"/>
          <w:b/>
          <w:bCs/>
          <w:color w:val="auto"/>
          <w:kern w:val="2"/>
          <w:sz w:val="28"/>
          <w:szCs w:val="28"/>
          <w:lang w:val="zh-CN"/>
        </w:rPr>
        <w:fldChar w:fldCharType="separate"/>
      </w:r>
      <w:r>
        <w:rPr>
          <w:rFonts w:hint="eastAsia" w:hAnsi="宋体"/>
          <w:bCs/>
          <w:color w:val="auto"/>
          <w:kern w:val="2"/>
          <w:sz w:val="32"/>
          <w:szCs w:val="32"/>
          <w:lang w:val="zh-CN"/>
        </w:rPr>
        <w:fldChar w:fldCharType="begin"/>
      </w:r>
      <w:r>
        <w:rPr>
          <w:rFonts w:hint="eastAsia" w:hAnsi="宋体"/>
          <w:bCs/>
          <w:color w:val="auto"/>
          <w:kern w:val="2"/>
          <w:sz w:val="32"/>
          <w:szCs w:val="32"/>
          <w:lang w:val="zh-CN"/>
        </w:rPr>
        <w:instrText xml:space="preserve"> HYPERLINK \l _Toc20215 </w:instrText>
      </w:r>
      <w:r>
        <w:rPr>
          <w:rFonts w:hint="eastAsia" w:hAnsi="宋体"/>
          <w:bCs/>
          <w:color w:val="auto"/>
          <w:kern w:val="2"/>
          <w:sz w:val="32"/>
          <w:szCs w:val="32"/>
          <w:lang w:val="zh-CN"/>
        </w:rPr>
        <w:fldChar w:fldCharType="separate"/>
      </w:r>
      <w:r>
        <w:rPr>
          <w:rFonts w:hint="eastAsia" w:hAnsi="宋体"/>
          <w:bCs/>
          <w:color w:val="auto"/>
          <w:kern w:val="44"/>
          <w:sz w:val="32"/>
          <w:szCs w:val="32"/>
          <w:lang w:val="zh-CN"/>
        </w:rPr>
        <w:t xml:space="preserve"> 第一篇</w:t>
      </w:r>
      <w:r>
        <w:rPr>
          <w:rFonts w:hint="eastAsia" w:hAnsi="宋体"/>
          <w:bCs/>
          <w:color w:val="auto"/>
          <w:kern w:val="44"/>
          <w:sz w:val="32"/>
          <w:szCs w:val="32"/>
          <w:lang w:val="en-US" w:eastAsia="zh-CN"/>
        </w:rPr>
        <w:t xml:space="preserve">  </w:t>
      </w:r>
      <w:r>
        <w:rPr>
          <w:rFonts w:hint="eastAsia" w:hAnsi="宋体"/>
          <w:bCs/>
          <w:color w:val="auto"/>
          <w:kern w:val="44"/>
          <w:sz w:val="32"/>
          <w:szCs w:val="32"/>
          <w:lang w:val="zh-CN"/>
        </w:rPr>
        <w:t>谈判邀请书</w:t>
      </w:r>
      <w:r>
        <w:rPr>
          <w:color w:val="auto"/>
          <w:sz w:val="32"/>
          <w:szCs w:val="32"/>
        </w:rPr>
        <w:tab/>
      </w:r>
      <w:r>
        <w:rPr>
          <w:color w:val="auto"/>
          <w:sz w:val="32"/>
          <w:szCs w:val="32"/>
        </w:rPr>
        <w:fldChar w:fldCharType="begin"/>
      </w:r>
      <w:r>
        <w:rPr>
          <w:color w:val="auto"/>
          <w:sz w:val="32"/>
          <w:szCs w:val="32"/>
        </w:rPr>
        <w:instrText xml:space="preserve"> PAGEREF _Toc20215 \h </w:instrText>
      </w:r>
      <w:r>
        <w:rPr>
          <w:color w:val="auto"/>
          <w:sz w:val="32"/>
          <w:szCs w:val="32"/>
        </w:rPr>
        <w:fldChar w:fldCharType="separate"/>
      </w:r>
      <w:r>
        <w:rPr>
          <w:color w:val="auto"/>
          <w:sz w:val="32"/>
          <w:szCs w:val="32"/>
        </w:rPr>
        <w:t>1</w:t>
      </w:r>
      <w:r>
        <w:rPr>
          <w:color w:val="auto"/>
          <w:sz w:val="32"/>
          <w:szCs w:val="32"/>
        </w:rPr>
        <w:fldChar w:fldCharType="end"/>
      </w:r>
      <w:r>
        <w:rPr>
          <w:rFonts w:hint="eastAsia" w:hAnsi="宋体"/>
          <w:bCs/>
          <w:color w:val="auto"/>
          <w:kern w:val="2"/>
          <w:sz w:val="32"/>
          <w:szCs w:val="32"/>
          <w:lang w:val="zh-CN"/>
        </w:rPr>
        <w:fldChar w:fldCharType="end"/>
      </w:r>
    </w:p>
    <w:p>
      <w:pPr>
        <w:pStyle w:val="15"/>
        <w:keepNext w:val="0"/>
        <w:keepLines w:val="0"/>
        <w:pageBreakBefore w:val="0"/>
        <w:widowControl w:val="0"/>
        <w:tabs>
          <w:tab w:val="right" w:pos="2800"/>
          <w:tab w:val="right" w:leader="dot" w:pos="9016"/>
        </w:tabs>
        <w:kinsoku/>
        <w:wordWrap/>
        <w:overflowPunct/>
        <w:topLinePunct w:val="0"/>
        <w:autoSpaceDE w:val="0"/>
        <w:autoSpaceDN w:val="0"/>
        <w:bidi w:val="0"/>
        <w:adjustRightInd w:val="0"/>
        <w:snapToGrid/>
        <w:spacing w:line="600" w:lineRule="exact"/>
        <w:ind w:firstLine="640" w:firstLineChars="200"/>
        <w:textAlignment w:val="auto"/>
        <w:rPr>
          <w:color w:val="auto"/>
          <w:sz w:val="32"/>
          <w:szCs w:val="32"/>
        </w:rPr>
      </w:pPr>
      <w:r>
        <w:rPr>
          <w:rFonts w:hint="eastAsia" w:hAnsi="宋体"/>
          <w:bCs/>
          <w:color w:val="auto"/>
          <w:kern w:val="2"/>
          <w:sz w:val="32"/>
          <w:szCs w:val="32"/>
          <w:lang w:val="zh-CN"/>
        </w:rPr>
        <w:fldChar w:fldCharType="begin"/>
      </w:r>
      <w:r>
        <w:rPr>
          <w:rFonts w:hint="eastAsia" w:hAnsi="宋体"/>
          <w:bCs/>
          <w:color w:val="auto"/>
          <w:kern w:val="2"/>
          <w:sz w:val="32"/>
          <w:szCs w:val="32"/>
          <w:lang w:val="zh-CN"/>
        </w:rPr>
        <w:instrText xml:space="preserve"> HYPERLINK \l _Toc28456 </w:instrText>
      </w:r>
      <w:r>
        <w:rPr>
          <w:rFonts w:hint="eastAsia" w:hAnsi="宋体"/>
          <w:bCs/>
          <w:color w:val="auto"/>
          <w:kern w:val="2"/>
          <w:sz w:val="32"/>
          <w:szCs w:val="32"/>
          <w:lang w:val="zh-CN"/>
        </w:rPr>
        <w:fldChar w:fldCharType="separate"/>
      </w:r>
      <w:r>
        <w:rPr>
          <w:rFonts w:hint="eastAsia" w:ascii="宋体" w:hAnsi="宋体" w:eastAsia="宋体" w:cs="Times New Roman"/>
          <w:bCs/>
          <w:color w:val="auto"/>
          <w:kern w:val="44"/>
          <w:sz w:val="32"/>
          <w:szCs w:val="32"/>
          <w:lang w:val="zh-CN"/>
        </w:rPr>
        <w:t xml:space="preserve"> 第二篇</w:t>
      </w:r>
      <w:r>
        <w:rPr>
          <w:rFonts w:hint="eastAsia" w:ascii="宋体" w:hAnsi="宋体" w:eastAsia="宋体" w:cs="Times New Roman"/>
          <w:bCs/>
          <w:color w:val="auto"/>
          <w:kern w:val="44"/>
          <w:sz w:val="32"/>
          <w:szCs w:val="32"/>
          <w:lang w:val="zh-CN"/>
        </w:rPr>
        <w:tab/>
      </w:r>
      <w:r>
        <w:rPr>
          <w:rFonts w:hint="eastAsia" w:hAnsi="宋体" w:cs="Times New Roman"/>
          <w:bCs/>
          <w:color w:val="auto"/>
          <w:kern w:val="44"/>
          <w:sz w:val="32"/>
          <w:szCs w:val="32"/>
          <w:lang w:val="en-US" w:eastAsia="zh-CN"/>
        </w:rPr>
        <w:t xml:space="preserve">  </w:t>
      </w:r>
      <w:r>
        <w:rPr>
          <w:rFonts w:hint="eastAsia" w:hAnsi="宋体" w:cs="Times New Roman"/>
          <w:bCs/>
          <w:color w:val="auto"/>
          <w:kern w:val="44"/>
          <w:sz w:val="32"/>
          <w:szCs w:val="32"/>
          <w:lang w:val="zh-CN"/>
        </w:rPr>
        <w:t>响应供应商</w:t>
      </w:r>
      <w:r>
        <w:rPr>
          <w:rFonts w:hint="eastAsia" w:ascii="宋体" w:hAnsi="宋体" w:eastAsia="宋体" w:cs="Times New Roman"/>
          <w:bCs/>
          <w:color w:val="auto"/>
          <w:kern w:val="44"/>
          <w:sz w:val="32"/>
          <w:szCs w:val="32"/>
          <w:lang w:val="zh-CN"/>
        </w:rPr>
        <w:t>须知</w:t>
      </w:r>
      <w:r>
        <w:rPr>
          <w:color w:val="auto"/>
          <w:sz w:val="32"/>
          <w:szCs w:val="32"/>
        </w:rPr>
        <w:tab/>
      </w:r>
      <w:r>
        <w:rPr>
          <w:color w:val="auto"/>
          <w:sz w:val="32"/>
          <w:szCs w:val="32"/>
        </w:rPr>
        <w:fldChar w:fldCharType="begin"/>
      </w:r>
      <w:r>
        <w:rPr>
          <w:color w:val="auto"/>
          <w:sz w:val="32"/>
          <w:szCs w:val="32"/>
        </w:rPr>
        <w:instrText xml:space="preserve"> PAGEREF _Toc28456 \h </w:instrText>
      </w:r>
      <w:r>
        <w:rPr>
          <w:color w:val="auto"/>
          <w:sz w:val="32"/>
          <w:szCs w:val="32"/>
        </w:rPr>
        <w:fldChar w:fldCharType="separate"/>
      </w:r>
      <w:r>
        <w:rPr>
          <w:color w:val="auto"/>
          <w:sz w:val="32"/>
          <w:szCs w:val="32"/>
        </w:rPr>
        <w:t>4</w:t>
      </w:r>
      <w:r>
        <w:rPr>
          <w:color w:val="auto"/>
          <w:sz w:val="32"/>
          <w:szCs w:val="32"/>
        </w:rPr>
        <w:fldChar w:fldCharType="end"/>
      </w:r>
      <w:r>
        <w:rPr>
          <w:rFonts w:hint="eastAsia" w:hAnsi="宋体"/>
          <w:bCs/>
          <w:color w:val="auto"/>
          <w:kern w:val="2"/>
          <w:sz w:val="32"/>
          <w:szCs w:val="32"/>
          <w:lang w:val="zh-CN"/>
        </w:rPr>
        <w:fldChar w:fldCharType="end"/>
      </w:r>
    </w:p>
    <w:p>
      <w:pPr>
        <w:pStyle w:val="15"/>
        <w:keepNext w:val="0"/>
        <w:keepLines w:val="0"/>
        <w:pageBreakBefore w:val="0"/>
        <w:widowControl w:val="0"/>
        <w:tabs>
          <w:tab w:val="right" w:leader="dot" w:pos="9016"/>
        </w:tabs>
        <w:kinsoku/>
        <w:wordWrap/>
        <w:overflowPunct/>
        <w:topLinePunct w:val="0"/>
        <w:autoSpaceDE w:val="0"/>
        <w:autoSpaceDN w:val="0"/>
        <w:bidi w:val="0"/>
        <w:adjustRightInd w:val="0"/>
        <w:snapToGrid/>
        <w:spacing w:line="600" w:lineRule="exact"/>
        <w:ind w:firstLine="640" w:firstLineChars="200"/>
        <w:textAlignment w:val="auto"/>
        <w:rPr>
          <w:color w:val="auto"/>
          <w:sz w:val="32"/>
          <w:szCs w:val="32"/>
        </w:rPr>
      </w:pPr>
      <w:r>
        <w:rPr>
          <w:rFonts w:hint="eastAsia" w:hAnsi="宋体"/>
          <w:bCs/>
          <w:color w:val="auto"/>
          <w:kern w:val="2"/>
          <w:sz w:val="32"/>
          <w:szCs w:val="32"/>
          <w:lang w:val="zh-CN"/>
        </w:rPr>
        <w:fldChar w:fldCharType="begin"/>
      </w:r>
      <w:r>
        <w:rPr>
          <w:rFonts w:hint="eastAsia" w:hAnsi="宋体"/>
          <w:bCs/>
          <w:color w:val="auto"/>
          <w:kern w:val="2"/>
          <w:sz w:val="32"/>
          <w:szCs w:val="32"/>
          <w:lang w:val="zh-CN"/>
        </w:rPr>
        <w:instrText xml:space="preserve"> HYPERLINK \l _Toc3433 </w:instrText>
      </w:r>
      <w:r>
        <w:rPr>
          <w:rFonts w:hint="eastAsia" w:hAnsi="宋体"/>
          <w:bCs/>
          <w:color w:val="auto"/>
          <w:kern w:val="2"/>
          <w:sz w:val="32"/>
          <w:szCs w:val="32"/>
          <w:lang w:val="zh-CN"/>
        </w:rPr>
        <w:fldChar w:fldCharType="separate"/>
      </w:r>
      <w:r>
        <w:rPr>
          <w:rFonts w:hint="eastAsia" w:hAnsi="宋体"/>
          <w:bCs/>
          <w:color w:val="auto"/>
          <w:kern w:val="44"/>
          <w:sz w:val="32"/>
          <w:szCs w:val="32"/>
          <w:lang w:val="zh-CN"/>
        </w:rPr>
        <w:t xml:space="preserve"> </w:t>
      </w:r>
      <w:r>
        <w:rPr>
          <w:rFonts w:hint="eastAsia" w:ascii="宋体" w:hAnsi="宋体" w:eastAsia="宋体" w:cs="Times New Roman"/>
          <w:bCs/>
          <w:color w:val="auto"/>
          <w:kern w:val="44"/>
          <w:sz w:val="32"/>
          <w:szCs w:val="32"/>
          <w:lang w:val="zh-CN"/>
        </w:rPr>
        <w:t>第三篇  采购需求</w:t>
      </w:r>
      <w:r>
        <w:rPr>
          <w:color w:val="auto"/>
          <w:sz w:val="32"/>
          <w:szCs w:val="32"/>
        </w:rPr>
        <w:tab/>
      </w:r>
      <w:r>
        <w:rPr>
          <w:color w:val="auto"/>
          <w:sz w:val="32"/>
          <w:szCs w:val="32"/>
        </w:rPr>
        <w:fldChar w:fldCharType="begin"/>
      </w:r>
      <w:r>
        <w:rPr>
          <w:color w:val="auto"/>
          <w:sz w:val="32"/>
          <w:szCs w:val="32"/>
        </w:rPr>
        <w:instrText xml:space="preserve"> PAGEREF _Toc3433 \h </w:instrText>
      </w:r>
      <w:r>
        <w:rPr>
          <w:color w:val="auto"/>
          <w:sz w:val="32"/>
          <w:szCs w:val="32"/>
        </w:rPr>
        <w:fldChar w:fldCharType="separate"/>
      </w:r>
      <w:r>
        <w:rPr>
          <w:color w:val="auto"/>
          <w:sz w:val="32"/>
          <w:szCs w:val="32"/>
        </w:rPr>
        <w:t>25</w:t>
      </w:r>
      <w:r>
        <w:rPr>
          <w:color w:val="auto"/>
          <w:sz w:val="32"/>
          <w:szCs w:val="32"/>
        </w:rPr>
        <w:fldChar w:fldCharType="end"/>
      </w:r>
      <w:r>
        <w:rPr>
          <w:rFonts w:hint="eastAsia" w:hAnsi="宋体"/>
          <w:bCs/>
          <w:color w:val="auto"/>
          <w:kern w:val="2"/>
          <w:sz w:val="32"/>
          <w:szCs w:val="32"/>
          <w:lang w:val="zh-CN"/>
        </w:rPr>
        <w:fldChar w:fldCharType="end"/>
      </w:r>
    </w:p>
    <w:p>
      <w:pPr>
        <w:pStyle w:val="15"/>
        <w:keepNext w:val="0"/>
        <w:keepLines w:val="0"/>
        <w:pageBreakBefore w:val="0"/>
        <w:widowControl w:val="0"/>
        <w:tabs>
          <w:tab w:val="right" w:leader="dot" w:pos="9016"/>
        </w:tabs>
        <w:kinsoku/>
        <w:wordWrap/>
        <w:overflowPunct/>
        <w:topLinePunct w:val="0"/>
        <w:autoSpaceDE w:val="0"/>
        <w:autoSpaceDN w:val="0"/>
        <w:bidi w:val="0"/>
        <w:adjustRightInd w:val="0"/>
        <w:snapToGrid/>
        <w:spacing w:line="600" w:lineRule="exact"/>
        <w:ind w:firstLine="640" w:firstLineChars="200"/>
        <w:textAlignment w:val="auto"/>
        <w:rPr>
          <w:color w:val="auto"/>
          <w:sz w:val="32"/>
          <w:szCs w:val="32"/>
        </w:rPr>
      </w:pPr>
      <w:r>
        <w:rPr>
          <w:rFonts w:hint="eastAsia" w:hAnsi="宋体"/>
          <w:bCs/>
          <w:color w:val="auto"/>
          <w:kern w:val="2"/>
          <w:sz w:val="32"/>
          <w:szCs w:val="32"/>
          <w:lang w:val="zh-CN"/>
        </w:rPr>
        <w:fldChar w:fldCharType="begin"/>
      </w:r>
      <w:r>
        <w:rPr>
          <w:rFonts w:hint="eastAsia" w:hAnsi="宋体"/>
          <w:bCs/>
          <w:color w:val="auto"/>
          <w:kern w:val="2"/>
          <w:sz w:val="32"/>
          <w:szCs w:val="32"/>
          <w:lang w:val="zh-CN"/>
        </w:rPr>
        <w:instrText xml:space="preserve"> HYPERLINK \l _Toc24046 </w:instrText>
      </w:r>
      <w:r>
        <w:rPr>
          <w:rFonts w:hint="eastAsia" w:hAnsi="宋体"/>
          <w:bCs/>
          <w:color w:val="auto"/>
          <w:kern w:val="2"/>
          <w:sz w:val="32"/>
          <w:szCs w:val="32"/>
          <w:lang w:val="zh-CN"/>
        </w:rPr>
        <w:fldChar w:fldCharType="separate"/>
      </w:r>
      <w:r>
        <w:rPr>
          <w:rFonts w:hint="eastAsia" w:hAnsi="宋体"/>
          <w:bCs/>
          <w:color w:val="auto"/>
          <w:kern w:val="44"/>
          <w:sz w:val="32"/>
          <w:szCs w:val="32"/>
          <w:lang w:val="zh-CN"/>
        </w:rPr>
        <w:t xml:space="preserve"> </w:t>
      </w:r>
      <w:r>
        <w:rPr>
          <w:rFonts w:hint="eastAsia" w:ascii="宋体" w:hAnsi="宋体" w:eastAsia="宋体" w:cs="Times New Roman"/>
          <w:bCs/>
          <w:color w:val="auto"/>
          <w:kern w:val="44"/>
          <w:sz w:val="32"/>
          <w:szCs w:val="32"/>
          <w:lang w:val="zh-CN"/>
        </w:rPr>
        <w:t>第四篇  评审</w:t>
      </w:r>
      <w:r>
        <w:rPr>
          <w:rFonts w:hint="eastAsia" w:hAnsi="宋体" w:cs="Times New Roman"/>
          <w:bCs/>
          <w:color w:val="auto"/>
          <w:kern w:val="44"/>
          <w:sz w:val="32"/>
          <w:szCs w:val="32"/>
          <w:lang w:val="zh-CN"/>
        </w:rPr>
        <w:t>工作</w:t>
      </w:r>
      <w:r>
        <w:rPr>
          <w:rFonts w:hint="eastAsia" w:ascii="宋体" w:hAnsi="宋体" w:eastAsia="宋体" w:cs="Times New Roman"/>
          <w:bCs/>
          <w:color w:val="auto"/>
          <w:kern w:val="44"/>
          <w:sz w:val="32"/>
          <w:szCs w:val="32"/>
          <w:lang w:val="zh-CN"/>
        </w:rPr>
        <w:t>大纲</w:t>
      </w:r>
      <w:r>
        <w:rPr>
          <w:color w:val="auto"/>
          <w:sz w:val="32"/>
          <w:szCs w:val="32"/>
        </w:rPr>
        <w:tab/>
      </w:r>
      <w:r>
        <w:rPr>
          <w:color w:val="auto"/>
          <w:sz w:val="32"/>
          <w:szCs w:val="32"/>
        </w:rPr>
        <w:fldChar w:fldCharType="begin"/>
      </w:r>
      <w:r>
        <w:rPr>
          <w:color w:val="auto"/>
          <w:sz w:val="32"/>
          <w:szCs w:val="32"/>
        </w:rPr>
        <w:instrText xml:space="preserve"> PAGEREF _Toc24046 \h </w:instrText>
      </w:r>
      <w:r>
        <w:rPr>
          <w:color w:val="auto"/>
          <w:sz w:val="32"/>
          <w:szCs w:val="32"/>
        </w:rPr>
        <w:fldChar w:fldCharType="separate"/>
      </w:r>
      <w:r>
        <w:rPr>
          <w:color w:val="auto"/>
          <w:sz w:val="32"/>
          <w:szCs w:val="32"/>
        </w:rPr>
        <w:t>32</w:t>
      </w:r>
      <w:r>
        <w:rPr>
          <w:color w:val="auto"/>
          <w:sz w:val="32"/>
          <w:szCs w:val="32"/>
        </w:rPr>
        <w:fldChar w:fldCharType="end"/>
      </w:r>
      <w:r>
        <w:rPr>
          <w:rFonts w:hint="eastAsia" w:hAnsi="宋体"/>
          <w:bCs/>
          <w:color w:val="auto"/>
          <w:kern w:val="2"/>
          <w:sz w:val="32"/>
          <w:szCs w:val="32"/>
          <w:lang w:val="zh-CN"/>
        </w:rPr>
        <w:fldChar w:fldCharType="end"/>
      </w:r>
    </w:p>
    <w:p>
      <w:pPr>
        <w:pStyle w:val="15"/>
        <w:keepNext w:val="0"/>
        <w:keepLines w:val="0"/>
        <w:pageBreakBefore w:val="0"/>
        <w:widowControl w:val="0"/>
        <w:tabs>
          <w:tab w:val="right" w:leader="dot" w:pos="9016"/>
        </w:tabs>
        <w:kinsoku/>
        <w:wordWrap/>
        <w:overflowPunct/>
        <w:topLinePunct w:val="0"/>
        <w:autoSpaceDE w:val="0"/>
        <w:autoSpaceDN w:val="0"/>
        <w:bidi w:val="0"/>
        <w:adjustRightInd w:val="0"/>
        <w:snapToGrid/>
        <w:spacing w:line="600" w:lineRule="exact"/>
        <w:ind w:firstLine="640" w:firstLineChars="200"/>
        <w:textAlignment w:val="auto"/>
        <w:rPr>
          <w:color w:val="auto"/>
          <w:sz w:val="32"/>
          <w:szCs w:val="32"/>
        </w:rPr>
      </w:pPr>
      <w:r>
        <w:rPr>
          <w:rFonts w:hint="eastAsia" w:hAnsi="宋体"/>
          <w:bCs/>
          <w:color w:val="auto"/>
          <w:kern w:val="2"/>
          <w:sz w:val="32"/>
          <w:szCs w:val="32"/>
          <w:lang w:val="zh-CN"/>
        </w:rPr>
        <w:fldChar w:fldCharType="begin"/>
      </w:r>
      <w:r>
        <w:rPr>
          <w:rFonts w:hint="eastAsia" w:hAnsi="宋体"/>
          <w:bCs/>
          <w:color w:val="auto"/>
          <w:kern w:val="2"/>
          <w:sz w:val="32"/>
          <w:szCs w:val="32"/>
          <w:lang w:val="zh-CN"/>
        </w:rPr>
        <w:instrText xml:space="preserve"> HYPERLINK \l _Toc30131 </w:instrText>
      </w:r>
      <w:r>
        <w:rPr>
          <w:rFonts w:hint="eastAsia" w:hAnsi="宋体"/>
          <w:bCs/>
          <w:color w:val="auto"/>
          <w:kern w:val="2"/>
          <w:sz w:val="32"/>
          <w:szCs w:val="32"/>
          <w:lang w:val="zh-CN"/>
        </w:rPr>
        <w:fldChar w:fldCharType="separate"/>
      </w:r>
      <w:r>
        <w:rPr>
          <w:rFonts w:hint="eastAsia" w:hAnsi="宋体"/>
          <w:bCs/>
          <w:color w:val="auto"/>
          <w:kern w:val="44"/>
          <w:sz w:val="32"/>
          <w:szCs w:val="32"/>
          <w:lang w:val="zh-CN"/>
        </w:rPr>
        <w:t xml:space="preserve"> 第五篇  合同条款格式</w:t>
      </w:r>
      <w:r>
        <w:rPr>
          <w:color w:val="auto"/>
          <w:sz w:val="32"/>
          <w:szCs w:val="32"/>
        </w:rPr>
        <w:tab/>
      </w:r>
      <w:r>
        <w:rPr>
          <w:color w:val="auto"/>
          <w:sz w:val="32"/>
          <w:szCs w:val="32"/>
        </w:rPr>
        <w:fldChar w:fldCharType="begin"/>
      </w:r>
      <w:r>
        <w:rPr>
          <w:color w:val="auto"/>
          <w:sz w:val="32"/>
          <w:szCs w:val="32"/>
        </w:rPr>
        <w:instrText xml:space="preserve"> PAGEREF _Toc30131 \h </w:instrText>
      </w:r>
      <w:r>
        <w:rPr>
          <w:color w:val="auto"/>
          <w:sz w:val="32"/>
          <w:szCs w:val="32"/>
        </w:rPr>
        <w:fldChar w:fldCharType="separate"/>
      </w:r>
      <w:r>
        <w:rPr>
          <w:color w:val="auto"/>
          <w:sz w:val="32"/>
          <w:szCs w:val="32"/>
        </w:rPr>
        <w:t>37</w:t>
      </w:r>
      <w:r>
        <w:rPr>
          <w:color w:val="auto"/>
          <w:sz w:val="32"/>
          <w:szCs w:val="32"/>
        </w:rPr>
        <w:fldChar w:fldCharType="end"/>
      </w:r>
      <w:r>
        <w:rPr>
          <w:rFonts w:hint="eastAsia" w:hAnsi="宋体"/>
          <w:bCs/>
          <w:color w:val="auto"/>
          <w:kern w:val="2"/>
          <w:sz w:val="32"/>
          <w:szCs w:val="32"/>
          <w:lang w:val="zh-CN"/>
        </w:rPr>
        <w:fldChar w:fldCharType="end"/>
      </w:r>
    </w:p>
    <w:p>
      <w:pPr>
        <w:pStyle w:val="15"/>
        <w:keepNext w:val="0"/>
        <w:keepLines w:val="0"/>
        <w:pageBreakBefore w:val="0"/>
        <w:widowControl w:val="0"/>
        <w:tabs>
          <w:tab w:val="right" w:leader="dot" w:pos="9016"/>
        </w:tabs>
        <w:kinsoku/>
        <w:wordWrap/>
        <w:overflowPunct/>
        <w:topLinePunct w:val="0"/>
        <w:autoSpaceDE w:val="0"/>
        <w:autoSpaceDN w:val="0"/>
        <w:bidi w:val="0"/>
        <w:adjustRightInd w:val="0"/>
        <w:snapToGrid/>
        <w:spacing w:line="600" w:lineRule="exact"/>
        <w:ind w:firstLine="640" w:firstLineChars="200"/>
        <w:textAlignment w:val="auto"/>
        <w:rPr>
          <w:color w:val="auto"/>
        </w:rPr>
      </w:pPr>
      <w:r>
        <w:rPr>
          <w:rFonts w:hint="eastAsia" w:hAnsi="宋体"/>
          <w:bCs/>
          <w:color w:val="auto"/>
          <w:kern w:val="2"/>
          <w:sz w:val="32"/>
          <w:szCs w:val="32"/>
          <w:lang w:val="zh-CN"/>
        </w:rPr>
        <w:fldChar w:fldCharType="begin"/>
      </w:r>
      <w:r>
        <w:rPr>
          <w:rFonts w:hint="eastAsia" w:hAnsi="宋体"/>
          <w:bCs/>
          <w:color w:val="auto"/>
          <w:kern w:val="2"/>
          <w:sz w:val="32"/>
          <w:szCs w:val="32"/>
          <w:lang w:val="zh-CN"/>
        </w:rPr>
        <w:instrText xml:space="preserve"> HYPERLINK \l _Toc12501 </w:instrText>
      </w:r>
      <w:r>
        <w:rPr>
          <w:rFonts w:hint="eastAsia" w:hAnsi="宋体"/>
          <w:bCs/>
          <w:color w:val="auto"/>
          <w:kern w:val="2"/>
          <w:sz w:val="32"/>
          <w:szCs w:val="32"/>
          <w:lang w:val="zh-CN"/>
        </w:rPr>
        <w:fldChar w:fldCharType="separate"/>
      </w:r>
      <w:r>
        <w:rPr>
          <w:rFonts w:hint="eastAsia" w:hAnsi="宋体"/>
          <w:bCs/>
          <w:color w:val="auto"/>
          <w:kern w:val="44"/>
          <w:sz w:val="32"/>
          <w:szCs w:val="32"/>
          <w:lang w:val="zh-CN"/>
        </w:rPr>
        <w:t xml:space="preserve"> 第六篇　响应文件格式</w:t>
      </w:r>
      <w:r>
        <w:rPr>
          <w:color w:val="auto"/>
          <w:sz w:val="32"/>
          <w:szCs w:val="32"/>
        </w:rPr>
        <w:tab/>
      </w:r>
      <w:r>
        <w:rPr>
          <w:color w:val="auto"/>
          <w:sz w:val="32"/>
          <w:szCs w:val="32"/>
        </w:rPr>
        <w:fldChar w:fldCharType="begin"/>
      </w:r>
      <w:r>
        <w:rPr>
          <w:color w:val="auto"/>
          <w:sz w:val="32"/>
          <w:szCs w:val="32"/>
        </w:rPr>
        <w:instrText xml:space="preserve"> PAGEREF _Toc12501 \h </w:instrText>
      </w:r>
      <w:r>
        <w:rPr>
          <w:color w:val="auto"/>
          <w:sz w:val="32"/>
          <w:szCs w:val="32"/>
        </w:rPr>
        <w:fldChar w:fldCharType="separate"/>
      </w:r>
      <w:r>
        <w:rPr>
          <w:color w:val="auto"/>
          <w:sz w:val="32"/>
          <w:szCs w:val="32"/>
        </w:rPr>
        <w:t>43</w:t>
      </w:r>
      <w:r>
        <w:rPr>
          <w:color w:val="auto"/>
          <w:sz w:val="32"/>
          <w:szCs w:val="32"/>
        </w:rPr>
        <w:fldChar w:fldCharType="end"/>
      </w:r>
      <w:r>
        <w:rPr>
          <w:rFonts w:hint="eastAsia" w:hAnsi="宋体"/>
          <w:bCs/>
          <w:color w:val="auto"/>
          <w:kern w:val="2"/>
          <w:sz w:val="32"/>
          <w:szCs w:val="32"/>
          <w:lang w:val="zh-CN"/>
        </w:rPr>
        <w:fldChar w:fldCharType="end"/>
      </w:r>
    </w:p>
    <w:p>
      <w:pPr>
        <w:spacing w:line="360" w:lineRule="auto"/>
        <w:ind w:left="2640" w:leftChars="1100" w:right="-34" w:rightChars="-14"/>
        <w:rPr>
          <w:rFonts w:hAnsi="宋体"/>
          <w:b/>
          <w:bCs/>
          <w:color w:val="auto"/>
          <w:kern w:val="2"/>
          <w:sz w:val="28"/>
          <w:szCs w:val="28"/>
        </w:rPr>
      </w:pPr>
      <w:r>
        <w:rPr>
          <w:rFonts w:hint="eastAsia" w:hAnsi="宋体"/>
          <w:bCs/>
          <w:color w:val="auto"/>
          <w:kern w:val="2"/>
          <w:szCs w:val="28"/>
          <w:lang w:val="zh-CN"/>
        </w:rPr>
        <w:fldChar w:fldCharType="end"/>
      </w:r>
    </w:p>
    <w:p>
      <w:pPr>
        <w:spacing w:line="360" w:lineRule="auto"/>
        <w:ind w:right="16"/>
        <w:rPr>
          <w:rFonts w:hAnsi="宋体"/>
          <w:color w:val="auto"/>
          <w:kern w:val="2"/>
          <w:sz w:val="21"/>
          <w:szCs w:val="21"/>
          <w:lang w:val="zh-CN"/>
        </w:rPr>
      </w:pPr>
    </w:p>
    <w:p>
      <w:pPr>
        <w:pStyle w:val="3"/>
        <w:keepNext/>
        <w:keepLines/>
        <w:pageBreakBefore/>
        <w:tabs>
          <w:tab w:val="left" w:pos="1080"/>
        </w:tabs>
        <w:spacing w:line="360" w:lineRule="auto"/>
        <w:ind w:left="567" w:hanging="567"/>
        <w:jc w:val="center"/>
        <w:rPr>
          <w:rFonts w:hint="eastAsia" w:hAnsi="宋体"/>
          <w:b/>
          <w:bCs/>
          <w:color w:val="auto"/>
          <w:kern w:val="44"/>
          <w:sz w:val="32"/>
          <w:szCs w:val="32"/>
          <w:lang w:val="zh-CN"/>
        </w:rPr>
        <w:sectPr>
          <w:footerReference r:id="rId4" w:type="default"/>
          <w:pgSz w:w="11907" w:h="16840"/>
          <w:pgMar w:top="1440" w:right="1417" w:bottom="1440" w:left="1474" w:header="794" w:footer="437" w:gutter="0"/>
          <w:pgNumType w:start="1"/>
          <w:cols w:space="720" w:num="1"/>
          <w:docGrid w:linePitch="285" w:charSpace="0"/>
        </w:sectPr>
      </w:pPr>
      <w:bookmarkStart w:id="0" w:name="_Toc382840837"/>
      <w:bookmarkStart w:id="1" w:name="_Toc382926888"/>
    </w:p>
    <w:p>
      <w:pPr>
        <w:keepNext/>
        <w:keepLines/>
        <w:pageBreakBefore/>
        <w:widowControl w:val="0"/>
        <w:tabs>
          <w:tab w:val="left" w:pos="1080"/>
        </w:tabs>
        <w:kinsoku/>
        <w:wordWrap/>
        <w:overflowPunct/>
        <w:topLinePunct w:val="0"/>
        <w:autoSpaceDE w:val="0"/>
        <w:autoSpaceDN w:val="0"/>
        <w:bidi w:val="0"/>
        <w:adjustRightInd w:val="0"/>
        <w:snapToGrid/>
        <w:spacing w:line="460" w:lineRule="exact"/>
        <w:ind w:left="0" w:firstLine="632" w:firstLineChars="200"/>
        <w:jc w:val="center"/>
        <w:textAlignment w:val="auto"/>
        <w:outlineLvl w:val="0"/>
        <w:rPr>
          <w:rFonts w:hAnsi="宋体"/>
          <w:color w:val="auto"/>
          <w:sz w:val="21"/>
          <w:szCs w:val="21"/>
        </w:rPr>
      </w:pPr>
      <w:bookmarkStart w:id="2" w:name="_Toc17490"/>
      <w:bookmarkStart w:id="3" w:name="_Toc20215"/>
      <w:r>
        <w:rPr>
          <w:rFonts w:hint="eastAsia" w:hAnsi="宋体"/>
          <w:b/>
          <w:bCs/>
          <w:color w:val="auto"/>
          <w:kern w:val="44"/>
          <w:sz w:val="32"/>
          <w:szCs w:val="32"/>
          <w:lang w:val="zh-CN"/>
        </w:rPr>
        <w:br w:type="textWrapping"/>
      </w:r>
      <w:r>
        <w:rPr>
          <w:rFonts w:hint="eastAsia" w:hAnsi="宋体"/>
          <w:b/>
          <w:bCs/>
          <w:color w:val="auto"/>
          <w:kern w:val="44"/>
          <w:sz w:val="32"/>
          <w:szCs w:val="32"/>
          <w:lang w:val="zh-CN"/>
        </w:rPr>
        <w:t>第一篇</w:t>
      </w:r>
      <w:r>
        <w:rPr>
          <w:rFonts w:hAnsi="宋体"/>
          <w:b/>
          <w:bCs/>
          <w:color w:val="auto"/>
          <w:kern w:val="44"/>
          <w:sz w:val="32"/>
          <w:szCs w:val="32"/>
          <w:lang w:val="zh-CN"/>
        </w:rPr>
        <w:tab/>
      </w:r>
      <w:r>
        <w:rPr>
          <w:rFonts w:hint="eastAsia" w:hAnsi="宋体"/>
          <w:b/>
          <w:bCs/>
          <w:color w:val="auto"/>
          <w:kern w:val="44"/>
          <w:sz w:val="32"/>
          <w:szCs w:val="32"/>
          <w:lang w:val="zh-CN"/>
        </w:rPr>
        <w:t>谈判邀请书</w:t>
      </w:r>
      <w:bookmarkEnd w:id="0"/>
      <w:bookmarkEnd w:id="1"/>
      <w:bookmarkEnd w:id="2"/>
      <w:bookmarkEnd w:id="3"/>
    </w:p>
    <w:p>
      <w:pPr>
        <w:pageBreakBefore w:val="0"/>
        <w:tabs>
          <w:tab w:val="right" w:pos="9639"/>
        </w:tabs>
        <w:kinsoku/>
        <w:wordWrap/>
        <w:overflowPunct/>
        <w:topLinePunct w:val="0"/>
        <w:bidi w:val="0"/>
        <w:adjustRightInd/>
        <w:snapToGrid/>
        <w:spacing w:line="460" w:lineRule="exact"/>
        <w:ind w:firstLine="472"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广东远东招标代理有限公司（以下简称“采购代理机构”）受</w:t>
      </w:r>
      <w:r>
        <w:rPr>
          <w:rFonts w:hint="eastAsia" w:ascii="宋体" w:hAnsi="宋体" w:eastAsia="宋体" w:cs="宋体"/>
          <w:color w:val="auto"/>
          <w:sz w:val="24"/>
          <w:szCs w:val="24"/>
          <w:lang w:eastAsia="zh-CN"/>
        </w:rPr>
        <w:t>南方医科大学第七附属医院</w:t>
      </w:r>
      <w:r>
        <w:rPr>
          <w:rFonts w:hint="eastAsia" w:ascii="宋体" w:hAnsi="宋体" w:eastAsia="宋体" w:cs="宋体"/>
          <w:color w:val="auto"/>
          <w:sz w:val="24"/>
          <w:szCs w:val="24"/>
        </w:rPr>
        <w:t xml:space="preserve"> （以下简称“采购人”）的委托，为</w:t>
      </w:r>
      <w:r>
        <w:rPr>
          <w:rFonts w:hint="eastAsia" w:hAnsi="宋体" w:cs="宋体"/>
          <w:color w:val="auto"/>
          <w:sz w:val="24"/>
          <w:szCs w:val="24"/>
          <w:lang w:eastAsia="zh-CN"/>
        </w:rPr>
        <w:t>洗衣房洗涤用品采购项目（第二次）</w:t>
      </w:r>
      <w:r>
        <w:rPr>
          <w:rFonts w:hint="eastAsia" w:ascii="宋体" w:hAnsi="宋体" w:eastAsia="宋体" w:cs="宋体"/>
          <w:color w:val="auto"/>
          <w:sz w:val="24"/>
          <w:szCs w:val="24"/>
        </w:rPr>
        <w:t>（项目编号：</w:t>
      </w:r>
      <w:r>
        <w:rPr>
          <w:rFonts w:hint="eastAsia" w:hAnsi="宋体" w:cs="宋体"/>
          <w:color w:val="auto"/>
          <w:sz w:val="24"/>
          <w:szCs w:val="24"/>
          <w:lang w:val="zh-CN"/>
        </w:rPr>
        <w:t>NFQYCG2023002</w:t>
      </w:r>
      <w:r>
        <w:rPr>
          <w:rFonts w:hint="eastAsia" w:ascii="宋体" w:hAnsi="宋体" w:eastAsia="宋体" w:cs="宋体"/>
          <w:color w:val="auto"/>
          <w:sz w:val="24"/>
          <w:szCs w:val="24"/>
        </w:rPr>
        <w:t>）进行国内竞争性谈判，欢迎符合条件的供应商参</w:t>
      </w:r>
      <w:r>
        <w:rPr>
          <w:rFonts w:hint="eastAsia" w:ascii="宋体" w:hAnsi="宋体" w:eastAsia="宋体" w:cs="宋体"/>
          <w:color w:val="auto"/>
          <w:sz w:val="24"/>
          <w:szCs w:val="24"/>
          <w:lang w:eastAsia="zh-CN"/>
        </w:rPr>
        <w:t>加</w:t>
      </w:r>
      <w:r>
        <w:rPr>
          <w:rFonts w:hint="eastAsia" w:hAnsi="宋体" w:cs="宋体"/>
          <w:color w:val="auto"/>
          <w:sz w:val="24"/>
          <w:szCs w:val="24"/>
          <w:lang w:eastAsia="zh-CN"/>
        </w:rPr>
        <w:t>响应</w:t>
      </w:r>
      <w:r>
        <w:rPr>
          <w:rFonts w:hint="eastAsia" w:ascii="宋体" w:hAnsi="宋体" w:eastAsia="宋体" w:cs="宋体"/>
          <w:color w:val="auto"/>
          <w:sz w:val="24"/>
          <w:szCs w:val="24"/>
        </w:rPr>
        <w:t>报价。</w:t>
      </w:r>
    </w:p>
    <w:p>
      <w:pPr>
        <w:pageBreakBefore w:val="0"/>
        <w:tabs>
          <w:tab w:val="right" w:pos="9639"/>
        </w:tabs>
        <w:kinsoku/>
        <w:wordWrap/>
        <w:overflowPunct/>
        <w:topLinePunct w:val="0"/>
        <w:bidi w:val="0"/>
        <w:adjustRightInd/>
        <w:snapToGrid/>
        <w:spacing w:line="460" w:lineRule="exact"/>
        <w:ind w:firstLine="472"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郑重说明:该项目已在采购人官网公开挂网一次，因</w:t>
      </w:r>
      <w:r>
        <w:rPr>
          <w:rFonts w:hint="eastAsia" w:hAnsi="宋体" w:cs="宋体"/>
          <w:color w:val="auto"/>
          <w:sz w:val="24"/>
          <w:szCs w:val="24"/>
          <w:lang w:eastAsia="zh-CN"/>
        </w:rPr>
        <w:t>递交响应文件截止时间止递交响应文件</w:t>
      </w:r>
      <w:r>
        <w:rPr>
          <w:rFonts w:hint="eastAsia" w:ascii="宋体" w:hAnsi="宋体" w:eastAsia="宋体" w:cs="宋体"/>
          <w:color w:val="auto"/>
          <w:sz w:val="24"/>
          <w:szCs w:val="24"/>
        </w:rPr>
        <w:t>的供应商不足三家，本项目流标。为不影响采购人</w:t>
      </w:r>
      <w:r>
        <w:rPr>
          <w:rFonts w:hint="eastAsia" w:hAnsi="宋体" w:cs="宋体"/>
          <w:color w:val="auto"/>
          <w:sz w:val="24"/>
          <w:szCs w:val="24"/>
          <w:lang w:eastAsia="zh-CN"/>
        </w:rPr>
        <w:t>洗衣房洗涤用品供应</w:t>
      </w:r>
      <w:r>
        <w:rPr>
          <w:rFonts w:hint="eastAsia" w:ascii="宋体" w:hAnsi="宋体" w:eastAsia="宋体" w:cs="宋体"/>
          <w:color w:val="auto"/>
          <w:sz w:val="24"/>
          <w:szCs w:val="24"/>
        </w:rPr>
        <w:t>，保证生产安全，若满足要求的</w:t>
      </w:r>
      <w:r>
        <w:rPr>
          <w:rFonts w:hint="eastAsia" w:hAnsi="宋体" w:cs="宋体"/>
          <w:color w:val="auto"/>
          <w:sz w:val="24"/>
          <w:szCs w:val="24"/>
          <w:lang w:eastAsia="zh-CN"/>
        </w:rPr>
        <w:t>供应商</w:t>
      </w:r>
      <w:r>
        <w:rPr>
          <w:rFonts w:hint="eastAsia" w:ascii="宋体" w:hAnsi="宋体" w:eastAsia="宋体" w:cs="宋体"/>
          <w:color w:val="auto"/>
          <w:sz w:val="24"/>
          <w:szCs w:val="24"/>
        </w:rPr>
        <w:t>只有一家，则由采购人评审小组直接推荐为成交人，若</w:t>
      </w:r>
      <w:r>
        <w:rPr>
          <w:rFonts w:hint="eastAsia" w:hAnsi="宋体" w:cs="宋体"/>
          <w:color w:val="auto"/>
          <w:sz w:val="24"/>
          <w:szCs w:val="24"/>
          <w:lang w:eastAsia="zh-CN"/>
        </w:rPr>
        <w:t>供应商</w:t>
      </w:r>
      <w:r>
        <w:rPr>
          <w:rFonts w:hint="eastAsia" w:ascii="宋体" w:hAnsi="宋体" w:eastAsia="宋体" w:cs="宋体"/>
          <w:color w:val="auto"/>
          <w:sz w:val="24"/>
          <w:szCs w:val="24"/>
        </w:rPr>
        <w:t>大于等于2家，则由采购人评审小组经</w:t>
      </w:r>
      <w:r>
        <w:rPr>
          <w:rFonts w:hint="eastAsia" w:hAnsi="宋体" w:cs="宋体"/>
          <w:color w:val="auto"/>
          <w:sz w:val="24"/>
          <w:szCs w:val="24"/>
          <w:lang w:eastAsia="zh-CN"/>
        </w:rPr>
        <w:t>谈判</w:t>
      </w:r>
      <w:r>
        <w:rPr>
          <w:rFonts w:hint="eastAsia" w:ascii="宋体" w:hAnsi="宋体" w:eastAsia="宋体" w:cs="宋体"/>
          <w:color w:val="auto"/>
          <w:sz w:val="24"/>
          <w:szCs w:val="24"/>
        </w:rPr>
        <w:t>后推荐</w:t>
      </w:r>
      <w:r>
        <w:rPr>
          <w:rFonts w:hint="eastAsia" w:hAnsi="宋体" w:cs="宋体"/>
          <w:color w:val="auto"/>
          <w:sz w:val="24"/>
          <w:szCs w:val="24"/>
          <w:lang w:eastAsia="zh-CN"/>
        </w:rPr>
        <w:t>报价</w:t>
      </w:r>
      <w:r>
        <w:rPr>
          <w:rFonts w:hint="eastAsia" w:ascii="宋体" w:hAnsi="宋体" w:eastAsia="宋体" w:cs="宋体"/>
          <w:color w:val="auto"/>
          <w:sz w:val="24"/>
          <w:szCs w:val="24"/>
        </w:rPr>
        <w:t>最</w:t>
      </w:r>
      <w:r>
        <w:rPr>
          <w:rFonts w:hint="eastAsia" w:hAnsi="宋体" w:cs="宋体"/>
          <w:color w:val="auto"/>
          <w:sz w:val="24"/>
          <w:szCs w:val="24"/>
          <w:lang w:eastAsia="zh-CN"/>
        </w:rPr>
        <w:t>低</w:t>
      </w:r>
      <w:r>
        <w:rPr>
          <w:rFonts w:hint="eastAsia" w:ascii="宋体" w:hAnsi="宋体" w:eastAsia="宋体" w:cs="宋体"/>
          <w:color w:val="auto"/>
          <w:sz w:val="24"/>
          <w:szCs w:val="24"/>
        </w:rPr>
        <w:t>者为成交人。</w:t>
      </w:r>
    </w:p>
    <w:p>
      <w:pPr>
        <w:pageBreakBefore w:val="0"/>
        <w:tabs>
          <w:tab w:val="right" w:pos="9639"/>
        </w:tabs>
        <w:kinsoku/>
        <w:wordWrap/>
        <w:overflowPunct/>
        <w:topLinePunct w:val="0"/>
        <w:bidi w:val="0"/>
        <w:adjustRightInd/>
        <w:snapToGrid/>
        <w:spacing w:line="460" w:lineRule="exact"/>
        <w:ind w:firstLine="472"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本采购项目有关事项如下：</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val="0"/>
          <w:color w:val="auto"/>
          <w:sz w:val="24"/>
          <w:szCs w:val="24"/>
          <w:lang w:eastAsia="zh-CN"/>
        </w:rPr>
      </w:pPr>
      <w:bookmarkStart w:id="4" w:name="_Toc9842"/>
      <w:bookmarkStart w:id="5" w:name="_Toc3002"/>
      <w:bookmarkStart w:id="6" w:name="_Toc10113"/>
      <w:bookmarkStart w:id="7" w:name="_Toc29495"/>
      <w:bookmarkStart w:id="8" w:name="_Toc15831"/>
      <w:r>
        <w:rPr>
          <w:rFonts w:hint="eastAsia" w:ascii="宋体" w:hAnsi="宋体" w:eastAsia="宋体" w:cs="宋体"/>
          <w:b/>
          <w:bCs w:val="0"/>
          <w:color w:val="auto"/>
          <w:sz w:val="24"/>
          <w:szCs w:val="24"/>
        </w:rPr>
        <w:t>一、项目</w:t>
      </w:r>
      <w:r>
        <w:rPr>
          <w:rFonts w:hint="eastAsia" w:ascii="宋体" w:hAnsi="宋体" w:eastAsia="宋体" w:cs="宋体"/>
          <w:b/>
          <w:bCs w:val="0"/>
          <w:color w:val="auto"/>
          <w:sz w:val="24"/>
          <w:szCs w:val="24"/>
          <w:lang w:eastAsia="zh-CN"/>
        </w:rPr>
        <w:t>基本情况</w:t>
      </w:r>
      <w:bookmarkEnd w:id="4"/>
      <w:bookmarkEnd w:id="5"/>
      <w:bookmarkEnd w:id="6"/>
      <w:bookmarkEnd w:id="7"/>
      <w:bookmarkEnd w:id="8"/>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（一）项目名称：</w:t>
      </w:r>
      <w:r>
        <w:rPr>
          <w:rFonts w:hint="eastAsia" w:hAnsi="宋体" w:cs="宋体"/>
          <w:color w:val="auto"/>
          <w:sz w:val="24"/>
          <w:szCs w:val="24"/>
          <w:lang w:eastAsia="zh-CN"/>
        </w:rPr>
        <w:t>洗衣房洗涤用品采购项目（第二次）</w:t>
      </w:r>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（二）项目编号：</w:t>
      </w:r>
      <w:r>
        <w:rPr>
          <w:rFonts w:hint="eastAsia" w:hAnsi="宋体" w:cs="宋体"/>
          <w:color w:val="auto"/>
          <w:sz w:val="24"/>
          <w:szCs w:val="24"/>
          <w:lang w:eastAsia="zh-CN"/>
        </w:rPr>
        <w:t>NFQYCG2023002</w:t>
      </w:r>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（三）采购预算金额（人民币）：</w:t>
      </w:r>
      <w:r>
        <w:rPr>
          <w:rFonts w:hint="eastAsia" w:ascii="宋体" w:hAnsi="宋体" w:eastAsia="宋体" w:cs="宋体"/>
          <w:color w:val="auto"/>
          <w:sz w:val="24"/>
          <w:szCs w:val="24"/>
          <w:lang w:val="en-US" w:eastAsia="zh-CN"/>
        </w:rPr>
        <w:t>30万元</w:t>
      </w:r>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（四）项目内容：</w:t>
      </w:r>
    </w:p>
    <w:tbl>
      <w:tblPr>
        <w:tblStyle w:val="22"/>
        <w:tblW w:w="8705" w:type="dxa"/>
        <w:tblInd w:w="2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9"/>
        <w:gridCol w:w="1940"/>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049" w:type="dxa"/>
          </w:tcPr>
          <w:p>
            <w:pPr>
              <w:pageBreakBefore w:val="0"/>
              <w:kinsoku/>
              <w:wordWrap/>
              <w:overflowPunct/>
              <w:topLinePunct w:val="0"/>
              <w:bidi w:val="0"/>
              <w:snapToGrid/>
              <w:jc w:val="center"/>
              <w:textAlignment w:val="auto"/>
              <w:outlineLvl w:val="9"/>
              <w:rPr>
                <w:rFonts w:hint="eastAsia"/>
                <w:b/>
                <w:bCs/>
                <w:color w:val="auto"/>
                <w:sz w:val="28"/>
                <w:szCs w:val="28"/>
                <w:vertAlign w:val="baseline"/>
                <w:lang w:eastAsia="zh-CN"/>
              </w:rPr>
            </w:pPr>
            <w:r>
              <w:rPr>
                <w:rFonts w:hint="eastAsia"/>
                <w:b/>
                <w:bCs/>
                <w:color w:val="auto"/>
                <w:sz w:val="28"/>
                <w:szCs w:val="28"/>
                <w:vertAlign w:val="baseline"/>
                <w:lang w:eastAsia="zh-CN"/>
              </w:rPr>
              <w:t>项目内容</w:t>
            </w:r>
          </w:p>
        </w:tc>
        <w:tc>
          <w:tcPr>
            <w:tcW w:w="1940" w:type="dxa"/>
          </w:tcPr>
          <w:p>
            <w:pPr>
              <w:pageBreakBefore w:val="0"/>
              <w:kinsoku/>
              <w:wordWrap/>
              <w:overflowPunct/>
              <w:topLinePunct w:val="0"/>
              <w:bidi w:val="0"/>
              <w:snapToGrid/>
              <w:jc w:val="center"/>
              <w:textAlignment w:val="auto"/>
              <w:outlineLvl w:val="9"/>
              <w:rPr>
                <w:rFonts w:hint="eastAsia"/>
                <w:b/>
                <w:bCs/>
                <w:color w:val="auto"/>
                <w:sz w:val="28"/>
                <w:szCs w:val="28"/>
                <w:vertAlign w:val="baseline"/>
                <w:lang w:eastAsia="zh-CN"/>
              </w:rPr>
            </w:pPr>
            <w:r>
              <w:rPr>
                <w:rFonts w:hint="eastAsia"/>
                <w:b/>
                <w:bCs/>
                <w:color w:val="auto"/>
                <w:sz w:val="28"/>
                <w:szCs w:val="28"/>
                <w:vertAlign w:val="baseline"/>
                <w:lang w:eastAsia="zh-CN"/>
              </w:rPr>
              <w:t>供货期</w:t>
            </w:r>
          </w:p>
        </w:tc>
        <w:tc>
          <w:tcPr>
            <w:tcW w:w="2716" w:type="dxa"/>
          </w:tcPr>
          <w:p>
            <w:pPr>
              <w:pageBreakBefore w:val="0"/>
              <w:kinsoku/>
              <w:wordWrap/>
              <w:overflowPunct/>
              <w:topLinePunct w:val="0"/>
              <w:bidi w:val="0"/>
              <w:snapToGrid/>
              <w:jc w:val="center"/>
              <w:textAlignment w:val="auto"/>
              <w:outlineLvl w:val="9"/>
              <w:rPr>
                <w:rFonts w:hint="eastAsia"/>
                <w:b/>
                <w:bCs/>
                <w:color w:val="auto"/>
                <w:sz w:val="28"/>
                <w:szCs w:val="28"/>
                <w:vertAlign w:val="baseline"/>
                <w:lang w:eastAsia="zh-CN"/>
              </w:rPr>
            </w:pPr>
            <w:r>
              <w:rPr>
                <w:rFonts w:hint="eastAsia"/>
                <w:b/>
                <w:bCs/>
                <w:color w:val="auto"/>
                <w:sz w:val="28"/>
                <w:szCs w:val="28"/>
                <w:vertAlign w:val="baseline"/>
                <w:lang w:eastAsia="zh-CN"/>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trPr>
        <w:tc>
          <w:tcPr>
            <w:tcW w:w="4049" w:type="dxa"/>
            <w:vAlign w:val="center"/>
          </w:tcPr>
          <w:p>
            <w:pPr>
              <w:pageBreakBefore w:val="0"/>
              <w:kinsoku/>
              <w:wordWrap/>
              <w:overflowPunct/>
              <w:topLinePunct w:val="0"/>
              <w:autoSpaceDE/>
              <w:autoSpaceDN/>
              <w:bidi w:val="0"/>
              <w:adjustRightInd/>
              <w:snapToGrid/>
              <w:spacing w:line="460" w:lineRule="exact"/>
              <w:ind w:firstLine="472" w:firstLineChars="200"/>
              <w:jc w:val="center"/>
              <w:textAlignment w:val="auto"/>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洗衣房洗涤用品</w:t>
            </w:r>
          </w:p>
        </w:tc>
        <w:tc>
          <w:tcPr>
            <w:tcW w:w="1940" w:type="dxa"/>
            <w:vAlign w:val="center"/>
          </w:tcPr>
          <w:p>
            <w:pPr>
              <w:pageBreakBefore w:val="0"/>
              <w:kinsoku/>
              <w:wordWrap/>
              <w:overflowPunct/>
              <w:topLinePunct w:val="0"/>
              <w:autoSpaceDE/>
              <w:autoSpaceDN/>
              <w:bidi w:val="0"/>
              <w:adjustRightInd/>
              <w:snapToGrid/>
              <w:spacing w:line="460" w:lineRule="exact"/>
              <w:jc w:val="center"/>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3年</w:t>
            </w:r>
          </w:p>
        </w:tc>
        <w:tc>
          <w:tcPr>
            <w:tcW w:w="2716" w:type="dxa"/>
            <w:vAlign w:val="center"/>
          </w:tcPr>
          <w:p>
            <w:pPr>
              <w:pageBreakBefore w:val="0"/>
              <w:kinsoku/>
              <w:wordWrap/>
              <w:overflowPunct/>
              <w:topLinePunct w:val="0"/>
              <w:autoSpaceDE/>
              <w:autoSpaceDN/>
              <w:bidi w:val="0"/>
              <w:adjustRightInd/>
              <w:snapToGrid/>
              <w:spacing w:line="460" w:lineRule="exact"/>
              <w:ind w:firstLine="472" w:firstLineChars="200"/>
              <w:jc w:val="center"/>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人民币</w:t>
            </w:r>
            <w:r>
              <w:rPr>
                <w:rFonts w:hint="eastAsia" w:asciiTheme="minorEastAsia" w:hAnsiTheme="minorEastAsia" w:eastAsiaTheme="minorEastAsia" w:cstheme="minorEastAsia"/>
                <w:color w:val="auto"/>
                <w:sz w:val="24"/>
                <w:szCs w:val="24"/>
                <w:lang w:val="en-US" w:eastAsia="zh-CN"/>
              </w:rPr>
              <w:t>30万元</w:t>
            </w:r>
          </w:p>
        </w:tc>
      </w:tr>
    </w:tbl>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（五）简要技术服务：响应供应商必须对该项目所有内容进行响应报价，不允许只对其中部分内容进行响应报价。详细技术参数及执行标准、规格等详见本谈判文件中的第三部分《用户需求书》。</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（六）</w:t>
      </w:r>
      <w:r>
        <w:rPr>
          <w:rFonts w:hint="eastAsia" w:asciiTheme="minorEastAsia" w:hAnsiTheme="minorEastAsia" w:eastAsiaTheme="minorEastAsia" w:cstheme="minorEastAsia"/>
          <w:color w:val="auto"/>
          <w:sz w:val="24"/>
          <w:szCs w:val="24"/>
          <w:lang w:val="en-US" w:eastAsia="zh-CN"/>
        </w:rPr>
        <w:t>接到采购人通知后的次日正常上班时间</w:t>
      </w:r>
      <w:r>
        <w:rPr>
          <w:rFonts w:hint="eastAsia" w:ascii="宋体" w:hAnsi="宋体" w:eastAsia="宋体" w:cs="宋体"/>
          <w:color w:val="auto"/>
          <w:sz w:val="24"/>
          <w:szCs w:val="24"/>
          <w:lang w:val="en-US" w:eastAsia="zh-CN"/>
        </w:rPr>
        <w:t>（上午8：30-下午4：00）</w:t>
      </w:r>
      <w:r>
        <w:rPr>
          <w:rFonts w:hint="eastAsia" w:asciiTheme="minorEastAsia" w:hAnsiTheme="minorEastAsia" w:eastAsiaTheme="minorEastAsia" w:cstheme="minorEastAsia"/>
          <w:color w:val="auto"/>
          <w:sz w:val="24"/>
          <w:szCs w:val="24"/>
          <w:lang w:val="en-US" w:eastAsia="zh-CN"/>
        </w:rPr>
        <w:t>内完成送货。</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val="0"/>
          <w:color w:val="auto"/>
          <w:sz w:val="24"/>
          <w:szCs w:val="24"/>
          <w:lang w:val="zh-CN" w:eastAsia="zh-CN"/>
        </w:rPr>
      </w:pPr>
      <w:bookmarkStart w:id="9" w:name="_Toc29501"/>
      <w:bookmarkStart w:id="10" w:name="_Toc32167"/>
      <w:r>
        <w:rPr>
          <w:rFonts w:hint="eastAsia" w:ascii="宋体" w:hAnsi="宋体" w:eastAsia="宋体" w:cs="宋体"/>
          <w:b/>
          <w:bCs w:val="0"/>
          <w:color w:val="auto"/>
          <w:sz w:val="24"/>
          <w:szCs w:val="24"/>
          <w:lang w:val="zh-CN" w:eastAsia="zh-CN"/>
        </w:rPr>
        <w:t>二、</w:t>
      </w:r>
      <w:r>
        <w:rPr>
          <w:rFonts w:hint="eastAsia" w:eastAsia="宋体" w:cs="宋体"/>
          <w:b/>
          <w:bCs w:val="0"/>
          <w:color w:val="auto"/>
          <w:sz w:val="24"/>
          <w:szCs w:val="24"/>
          <w:lang w:val="zh-CN" w:eastAsia="zh-CN"/>
        </w:rPr>
        <w:t>合格的</w:t>
      </w:r>
      <w:bookmarkEnd w:id="9"/>
      <w:bookmarkEnd w:id="10"/>
      <w:r>
        <w:rPr>
          <w:rFonts w:hint="eastAsia" w:cs="宋体"/>
          <w:b/>
          <w:bCs w:val="0"/>
          <w:color w:val="auto"/>
          <w:sz w:val="24"/>
          <w:szCs w:val="24"/>
          <w:lang w:val="zh-CN" w:eastAsia="zh-CN"/>
        </w:rPr>
        <w:t>响应供应商</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（一）</w:t>
      </w:r>
      <w:r>
        <w:rPr>
          <w:rFonts w:hint="eastAsia" w:asciiTheme="minorEastAsia" w:hAnsiTheme="minorEastAsia" w:eastAsiaTheme="minorEastAsia" w:cstheme="minorEastAsia"/>
          <w:color w:val="auto"/>
          <w:sz w:val="24"/>
          <w:szCs w:val="24"/>
        </w:rPr>
        <w:t>具有独立承担民事责任</w:t>
      </w:r>
      <w:r>
        <w:rPr>
          <w:rFonts w:hint="eastAsia" w:asciiTheme="minorEastAsia" w:hAnsiTheme="minorEastAsia" w:eastAsiaTheme="minorEastAsia" w:cstheme="minorEastAsia"/>
          <w:color w:val="auto"/>
          <w:sz w:val="24"/>
          <w:szCs w:val="24"/>
          <w:lang w:eastAsia="zh-CN"/>
        </w:rPr>
        <w:t>的</w:t>
      </w:r>
      <w:r>
        <w:rPr>
          <w:rFonts w:hint="eastAsia" w:asciiTheme="minorEastAsia" w:hAnsiTheme="minorEastAsia" w:eastAsiaTheme="minorEastAsia" w:cstheme="minorEastAsia"/>
          <w:color w:val="auto"/>
          <w:sz w:val="24"/>
          <w:szCs w:val="24"/>
        </w:rPr>
        <w:t>能力</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提交营业执照复印件</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具有良好的商业信誉和健全的财务会计制度</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提供</w:t>
      </w:r>
      <w:r>
        <w:rPr>
          <w:rFonts w:hint="eastAsia" w:asciiTheme="minorEastAsia" w:hAnsiTheme="minorEastAsia" w:eastAsiaTheme="minorEastAsia" w:cstheme="minorEastAsia"/>
          <w:color w:val="auto"/>
          <w:sz w:val="24"/>
          <w:szCs w:val="24"/>
          <w:lang w:eastAsia="zh-CN"/>
        </w:rPr>
        <w:t>相应证明资料）</w:t>
      </w:r>
      <w:r>
        <w:rPr>
          <w:rFonts w:hint="eastAsia" w:asciiTheme="minorEastAsia" w:hAnsiTheme="minorEastAsia" w:eastAsiaTheme="minorEastAsia" w:cstheme="minorEastAsia"/>
          <w:color w:val="auto"/>
          <w:sz w:val="24"/>
          <w:szCs w:val="24"/>
        </w:rPr>
        <w:t>；</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（三）</w:t>
      </w:r>
      <w:r>
        <w:rPr>
          <w:rFonts w:hint="eastAsia" w:asciiTheme="minorEastAsia" w:hAnsiTheme="minorEastAsia" w:eastAsiaTheme="minorEastAsia" w:cstheme="minorEastAsia"/>
          <w:color w:val="auto"/>
          <w:sz w:val="24"/>
          <w:szCs w:val="24"/>
        </w:rPr>
        <w:t>有依法缴纳税收和社会保障资金的良好记录</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提供相应证明材料</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（四）</w:t>
      </w:r>
      <w:r>
        <w:rPr>
          <w:rFonts w:hint="eastAsia" w:asciiTheme="minorEastAsia" w:hAnsiTheme="minorEastAsia" w:eastAsiaTheme="minorEastAsia" w:cstheme="minorEastAsia"/>
          <w:color w:val="auto"/>
          <w:sz w:val="24"/>
          <w:szCs w:val="24"/>
        </w:rPr>
        <w:t>具有履行合同所必需的设备和专业技术能力</w:t>
      </w:r>
      <w:r>
        <w:rPr>
          <w:rFonts w:hint="eastAsia" w:asciiTheme="minorEastAsia" w:hAnsiTheme="minorEastAsia" w:eastAsiaTheme="minorEastAsia" w:cstheme="minorEastAsia"/>
          <w:color w:val="auto"/>
          <w:sz w:val="24"/>
          <w:szCs w:val="24"/>
          <w:lang w:eastAsia="zh-CN"/>
        </w:rPr>
        <w:t>（提供相应证明资料）</w:t>
      </w:r>
      <w:r>
        <w:rPr>
          <w:rFonts w:hint="eastAsia" w:asciiTheme="minorEastAsia" w:hAnsiTheme="minorEastAsia" w:eastAsiaTheme="minorEastAsia" w:cstheme="minorEastAsia"/>
          <w:color w:val="auto"/>
          <w:sz w:val="24"/>
          <w:szCs w:val="24"/>
        </w:rPr>
        <w:t>；</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（五）</w:t>
      </w:r>
      <w:r>
        <w:rPr>
          <w:rFonts w:hint="eastAsia" w:asciiTheme="minorEastAsia" w:hAnsiTheme="minorEastAsia" w:eastAsiaTheme="minorEastAsia" w:cstheme="minorEastAsia"/>
          <w:color w:val="auto"/>
          <w:sz w:val="24"/>
          <w:szCs w:val="24"/>
        </w:rPr>
        <w:t>参加本次采购活动前三年内在经营活动中没有重大违法记录（提供书面声明）；</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eastAsia="zh-CN"/>
        </w:rPr>
        <w:t>（六）</w:t>
      </w:r>
      <w:r>
        <w:rPr>
          <w:rFonts w:hint="eastAsia" w:asciiTheme="minorEastAsia" w:hAnsiTheme="minorEastAsia" w:eastAsiaTheme="minorEastAsia" w:cstheme="minorEastAsia"/>
          <w:color w:val="auto"/>
          <w:sz w:val="24"/>
          <w:szCs w:val="24"/>
        </w:rPr>
        <w:t>本项目不接受联合体报价</w:t>
      </w:r>
      <w:r>
        <w:rPr>
          <w:rFonts w:hint="eastAsia" w:asciiTheme="minorEastAsia" w:hAnsiTheme="minorEastAsia" w:eastAsiaTheme="minorEastAsia" w:cstheme="minorEastAsia"/>
          <w:color w:val="auto"/>
          <w:sz w:val="24"/>
          <w:szCs w:val="24"/>
          <w:lang w:eastAsia="zh-CN"/>
        </w:rPr>
        <w:t>，不允许</w:t>
      </w:r>
      <w:r>
        <w:rPr>
          <w:rFonts w:hint="eastAsia" w:asciiTheme="minorEastAsia" w:hAnsiTheme="minorEastAsia" w:eastAsiaTheme="minorEastAsia" w:cstheme="minorEastAsia"/>
          <w:color w:val="auto"/>
          <w:sz w:val="24"/>
          <w:szCs w:val="24"/>
        </w:rPr>
        <w:t>转包</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（七）</w:t>
      </w:r>
      <w:r>
        <w:rPr>
          <w:rFonts w:hint="eastAsia" w:asciiTheme="minorEastAsia" w:hAnsiTheme="minorEastAsia" w:eastAsiaTheme="minorEastAsia" w:cstheme="minorEastAsia"/>
          <w:color w:val="auto"/>
          <w:sz w:val="24"/>
          <w:szCs w:val="24"/>
        </w:rPr>
        <w:t>已登记报名并</w:t>
      </w:r>
      <w:r>
        <w:rPr>
          <w:rFonts w:hint="eastAsia" w:asciiTheme="minorEastAsia" w:hAnsiTheme="minorEastAsia" w:eastAsiaTheme="minorEastAsia" w:cstheme="minorEastAsia"/>
          <w:color w:val="auto"/>
          <w:sz w:val="24"/>
          <w:szCs w:val="24"/>
          <w:lang w:eastAsia="zh-CN"/>
        </w:rPr>
        <w:t>全部有效响应</w:t>
      </w:r>
      <w:r>
        <w:rPr>
          <w:rFonts w:hint="eastAsia" w:asciiTheme="minorEastAsia" w:hAnsiTheme="minorEastAsia" w:eastAsiaTheme="minorEastAsia" w:cstheme="minorEastAsia"/>
          <w:color w:val="auto"/>
          <w:sz w:val="24"/>
          <w:szCs w:val="24"/>
        </w:rPr>
        <w:t>本</w:t>
      </w:r>
      <w:r>
        <w:rPr>
          <w:rFonts w:hint="eastAsia" w:asciiTheme="minorEastAsia" w:hAnsiTheme="minorEastAsia" w:cstheme="minorEastAsia"/>
          <w:color w:val="auto"/>
          <w:sz w:val="24"/>
          <w:szCs w:val="24"/>
          <w:lang w:eastAsia="zh-CN"/>
        </w:rPr>
        <w:t>谈判文件</w:t>
      </w:r>
      <w:r>
        <w:rPr>
          <w:rFonts w:hint="eastAsia" w:asciiTheme="minorEastAsia" w:hAnsiTheme="minorEastAsia" w:eastAsiaTheme="minorEastAsia" w:cstheme="minorEastAsia"/>
          <w:color w:val="auto"/>
          <w:sz w:val="24"/>
          <w:szCs w:val="24"/>
        </w:rPr>
        <w:t>的</w:t>
      </w:r>
      <w:r>
        <w:rPr>
          <w:rFonts w:hint="eastAsia" w:asciiTheme="minorEastAsia" w:hAnsiTheme="minorEastAsia" w:cstheme="minorEastAsia"/>
          <w:color w:val="auto"/>
          <w:sz w:val="24"/>
          <w:szCs w:val="24"/>
          <w:lang w:eastAsia="zh-CN"/>
        </w:rPr>
        <w:t>响应供应商</w:t>
      </w:r>
      <w:r>
        <w:rPr>
          <w:rFonts w:hint="eastAsia" w:asciiTheme="minorEastAsia" w:hAnsiTheme="minorEastAsia" w:eastAsiaTheme="minorEastAsia" w:cstheme="minorEastAsia"/>
          <w:color w:val="auto"/>
          <w:sz w:val="24"/>
          <w:szCs w:val="24"/>
        </w:rPr>
        <w:t>。</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eastAsia="宋体" w:cs="宋体"/>
          <w:b/>
          <w:bCs w:val="0"/>
          <w:color w:val="auto"/>
          <w:sz w:val="24"/>
          <w:szCs w:val="24"/>
          <w:lang w:val="zh-CN" w:eastAsia="zh-CN"/>
        </w:rPr>
      </w:pPr>
      <w:r>
        <w:rPr>
          <w:rFonts w:hint="eastAsia" w:eastAsia="宋体" w:cs="宋体"/>
          <w:b/>
          <w:bCs w:val="0"/>
          <w:color w:val="auto"/>
          <w:sz w:val="24"/>
          <w:szCs w:val="24"/>
          <w:lang w:val="zh-CN" w:eastAsia="zh-CN"/>
        </w:rPr>
        <w:t>三、获取采购文件</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（一）</w:t>
      </w:r>
      <w:r>
        <w:rPr>
          <w:rFonts w:hint="eastAsia" w:asciiTheme="minorEastAsia" w:hAnsiTheme="minorEastAsia" w:eastAsiaTheme="minorEastAsia" w:cstheme="minorEastAsia"/>
          <w:color w:val="auto"/>
          <w:sz w:val="24"/>
          <w:szCs w:val="24"/>
        </w:rPr>
        <w:t>时间：</w:t>
      </w:r>
      <w:r>
        <w:rPr>
          <w:rFonts w:hint="eastAsia" w:asciiTheme="minorEastAsia" w:hAnsiTheme="minorEastAsia" w:eastAsiaTheme="minorEastAsia" w:cstheme="minorEastAsia"/>
          <w:color w:val="auto"/>
          <w:sz w:val="24"/>
          <w:szCs w:val="24"/>
          <w:u w:val="single"/>
          <w:lang w:val="en-US" w:eastAsia="zh-CN"/>
        </w:rPr>
        <w:t>2023</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u w:val="single"/>
          <w:lang w:val="en-US" w:eastAsia="zh-CN"/>
        </w:rPr>
        <w:t>4</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u w:val="single"/>
          <w:lang w:val="en-US" w:eastAsia="zh-CN"/>
        </w:rPr>
        <w:t>7</w:t>
      </w:r>
      <w:r>
        <w:rPr>
          <w:rFonts w:hint="eastAsia" w:asciiTheme="minorEastAsia" w:hAnsiTheme="minorEastAsia" w:eastAsiaTheme="minorEastAsia" w:cstheme="minorEastAsia"/>
          <w:color w:val="auto"/>
          <w:sz w:val="24"/>
          <w:szCs w:val="24"/>
        </w:rPr>
        <w:t>日至</w:t>
      </w:r>
      <w:r>
        <w:rPr>
          <w:rFonts w:hint="eastAsia" w:asciiTheme="minorEastAsia" w:hAnsiTheme="minorEastAsia" w:eastAsiaTheme="minorEastAsia" w:cstheme="minorEastAsia"/>
          <w:color w:val="auto"/>
          <w:sz w:val="24"/>
          <w:szCs w:val="24"/>
          <w:u w:val="single"/>
          <w:lang w:val="en-US" w:eastAsia="zh-CN"/>
        </w:rPr>
        <w:t>2023</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u w:val="single"/>
          <w:lang w:val="en-US" w:eastAsia="zh-CN"/>
        </w:rPr>
        <w:t>4</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u w:val="single"/>
          <w:lang w:val="en-US" w:eastAsia="zh-CN"/>
        </w:rPr>
        <w:t>13</w:t>
      </w:r>
      <w:r>
        <w:rPr>
          <w:rFonts w:hint="eastAsia" w:asciiTheme="minorEastAsia" w:hAnsiTheme="minorEastAsia" w:eastAsiaTheme="minorEastAsia" w:cstheme="minorEastAsia"/>
          <w:color w:val="auto"/>
          <w:sz w:val="24"/>
          <w:szCs w:val="24"/>
        </w:rPr>
        <w:t>日，每天上午9:00至12:00，下午14:30至17:30。（北京时间，法定节假日除外）</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地点：远东电子交易平台http://www.gdydzb.com/</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（三）</w:t>
      </w:r>
      <w:r>
        <w:rPr>
          <w:rFonts w:hint="eastAsia" w:asciiTheme="minorEastAsia" w:hAnsiTheme="minorEastAsia" w:eastAsiaTheme="minorEastAsia" w:cstheme="minorEastAsia"/>
          <w:color w:val="auto"/>
          <w:sz w:val="24"/>
          <w:szCs w:val="24"/>
        </w:rPr>
        <w:t>方式：网上</w:t>
      </w:r>
      <w:r>
        <w:rPr>
          <w:rFonts w:hint="eastAsia" w:asciiTheme="minorEastAsia" w:hAnsiTheme="minorEastAsia" w:eastAsiaTheme="minorEastAsia" w:cstheme="minorEastAsia"/>
          <w:color w:val="auto"/>
          <w:sz w:val="24"/>
          <w:szCs w:val="24"/>
          <w:lang w:eastAsia="zh-CN"/>
        </w:rPr>
        <w:t>获取</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（四）</w:t>
      </w:r>
      <w:r>
        <w:rPr>
          <w:rFonts w:hint="eastAsia" w:asciiTheme="minorEastAsia" w:hAnsiTheme="minorEastAsia" w:eastAsiaTheme="minorEastAsia" w:cstheme="minorEastAsia"/>
          <w:color w:val="auto"/>
          <w:sz w:val="24"/>
          <w:szCs w:val="24"/>
        </w:rPr>
        <w:t>售价：</w:t>
      </w:r>
      <w:r>
        <w:rPr>
          <w:rFonts w:hint="eastAsia" w:asciiTheme="minorEastAsia" w:hAnsiTheme="minorEastAsia" w:eastAsiaTheme="minorEastAsia" w:cstheme="minorEastAsia"/>
          <w:color w:val="auto"/>
          <w:sz w:val="24"/>
          <w:szCs w:val="24"/>
          <w:lang w:eastAsia="zh-CN"/>
        </w:rPr>
        <w:t>免费</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（五）</w:t>
      </w:r>
      <w:r>
        <w:rPr>
          <w:rFonts w:hint="eastAsia" w:asciiTheme="minorEastAsia" w:hAnsiTheme="minorEastAsia" w:eastAsiaTheme="minorEastAsia" w:cstheme="minorEastAsia"/>
          <w:color w:val="auto"/>
          <w:sz w:val="24"/>
          <w:szCs w:val="24"/>
        </w:rPr>
        <w:t>若已</w:t>
      </w:r>
      <w:r>
        <w:rPr>
          <w:rFonts w:hint="eastAsia" w:asciiTheme="minorEastAsia" w:hAnsiTheme="minorEastAsia" w:eastAsiaTheme="minorEastAsia" w:cstheme="minorEastAsia"/>
          <w:color w:val="auto"/>
          <w:sz w:val="24"/>
          <w:szCs w:val="24"/>
          <w:lang w:eastAsia="zh-CN"/>
        </w:rPr>
        <w:t>获取本</w:t>
      </w:r>
      <w:r>
        <w:rPr>
          <w:rFonts w:hint="eastAsia" w:asciiTheme="minorEastAsia" w:hAnsiTheme="minorEastAsia" w:cstheme="minorEastAsia"/>
          <w:color w:val="auto"/>
          <w:sz w:val="24"/>
          <w:szCs w:val="24"/>
          <w:lang w:eastAsia="zh-CN"/>
        </w:rPr>
        <w:t>谈判</w:t>
      </w:r>
      <w:r>
        <w:rPr>
          <w:rFonts w:hint="eastAsia" w:asciiTheme="minorEastAsia" w:hAnsiTheme="minorEastAsia" w:eastAsiaTheme="minorEastAsia" w:cstheme="minorEastAsia"/>
          <w:color w:val="auto"/>
          <w:sz w:val="24"/>
          <w:szCs w:val="24"/>
        </w:rPr>
        <w:t>文件而决定不参加本项目</w:t>
      </w:r>
      <w:r>
        <w:rPr>
          <w:rFonts w:hint="eastAsia" w:asciiTheme="minorEastAsia" w:hAnsiTheme="minorEastAsia" w:eastAsiaTheme="minorEastAsia" w:cstheme="minorEastAsia"/>
          <w:color w:val="auto"/>
          <w:sz w:val="24"/>
          <w:szCs w:val="24"/>
          <w:lang w:eastAsia="zh-CN"/>
        </w:rPr>
        <w:t>报价</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响应供应商</w:t>
      </w:r>
      <w:r>
        <w:rPr>
          <w:rFonts w:hint="eastAsia" w:asciiTheme="minorEastAsia" w:hAnsiTheme="minorEastAsia" w:eastAsiaTheme="minorEastAsia" w:cstheme="minorEastAsia"/>
          <w:color w:val="auto"/>
          <w:sz w:val="24"/>
          <w:szCs w:val="24"/>
        </w:rPr>
        <w:t>，应在</w:t>
      </w:r>
      <w:r>
        <w:rPr>
          <w:rFonts w:hint="eastAsia" w:asciiTheme="minorEastAsia" w:hAnsiTheme="minorEastAsia" w:eastAsiaTheme="minorEastAsia" w:cstheme="minorEastAsia"/>
          <w:color w:val="auto"/>
          <w:sz w:val="24"/>
          <w:szCs w:val="24"/>
          <w:lang w:eastAsia="zh-CN"/>
        </w:rPr>
        <w:t>谈判开始</w:t>
      </w:r>
      <w:r>
        <w:rPr>
          <w:rFonts w:hint="eastAsia" w:asciiTheme="minorEastAsia" w:hAnsiTheme="minorEastAsia" w:eastAsiaTheme="minorEastAsia" w:cstheme="minorEastAsia"/>
          <w:color w:val="auto"/>
          <w:sz w:val="24"/>
          <w:szCs w:val="24"/>
        </w:rPr>
        <w:t>时间截止前1个工作日以书面形式（加盖公章）通知采购代理机构。</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val="0"/>
          <w:color w:val="auto"/>
          <w:sz w:val="24"/>
          <w:szCs w:val="24"/>
          <w:lang w:val="zh-CN" w:eastAsia="zh-CN"/>
        </w:rPr>
      </w:pPr>
      <w:bookmarkStart w:id="11" w:name="_Toc15578"/>
      <w:bookmarkStart w:id="12" w:name="_Toc32190"/>
      <w:r>
        <w:rPr>
          <w:rFonts w:hint="eastAsia" w:ascii="宋体" w:hAnsi="宋体" w:eastAsia="宋体" w:cs="宋体"/>
          <w:b/>
          <w:bCs w:val="0"/>
          <w:color w:val="auto"/>
          <w:sz w:val="24"/>
          <w:szCs w:val="24"/>
          <w:lang w:val="zh-CN"/>
        </w:rPr>
        <w:t>四、</w:t>
      </w:r>
      <w:r>
        <w:rPr>
          <w:rFonts w:hint="eastAsia" w:ascii="宋体" w:hAnsi="宋体" w:eastAsia="宋体" w:cs="宋体"/>
          <w:b/>
          <w:bCs w:val="0"/>
          <w:color w:val="auto"/>
          <w:sz w:val="24"/>
          <w:szCs w:val="24"/>
          <w:lang w:val="zh-CN" w:eastAsia="zh-CN"/>
        </w:rPr>
        <w:t>递交截止时间、开启时间和地点</w:t>
      </w:r>
      <w:bookmarkEnd w:id="11"/>
      <w:bookmarkEnd w:id="12"/>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zh-CN" w:eastAsia="zh-CN"/>
        </w:rPr>
        <w:t>（一）</w:t>
      </w:r>
      <w:r>
        <w:rPr>
          <w:rFonts w:hint="eastAsia" w:asciiTheme="minorEastAsia" w:hAnsiTheme="minorEastAsia" w:eastAsiaTheme="minorEastAsia" w:cstheme="minorEastAsia"/>
          <w:color w:val="auto"/>
          <w:sz w:val="24"/>
          <w:szCs w:val="24"/>
          <w:lang w:eastAsia="zh-CN"/>
        </w:rPr>
        <w:t>响应文件</w:t>
      </w:r>
      <w:r>
        <w:rPr>
          <w:rFonts w:hint="eastAsia" w:asciiTheme="minorEastAsia" w:hAnsiTheme="minorEastAsia" w:eastAsiaTheme="minorEastAsia" w:cstheme="minorEastAsia"/>
          <w:color w:val="auto"/>
          <w:sz w:val="24"/>
          <w:szCs w:val="24"/>
          <w:lang w:val="zh-CN" w:eastAsia="zh-CN"/>
        </w:rPr>
        <w:t>递交地点：</w:t>
      </w:r>
      <w:r>
        <w:rPr>
          <w:rFonts w:hint="eastAsia" w:asciiTheme="minorEastAsia" w:hAnsiTheme="minorEastAsia" w:eastAsiaTheme="minorEastAsia" w:cstheme="minorEastAsia"/>
          <w:color w:val="auto"/>
          <w:sz w:val="24"/>
          <w:szCs w:val="24"/>
          <w:lang w:eastAsia="zh-CN"/>
        </w:rPr>
        <w:t>南方医科大学第七附属医院全科医学楼四楼招标采购会议室413（佛山市南海区里水镇里官路得胜路段28号）。</w:t>
      </w:r>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zh-CN" w:eastAsia="zh-CN"/>
        </w:rPr>
        <w:t>（二）</w:t>
      </w:r>
      <w:r>
        <w:rPr>
          <w:rFonts w:hint="eastAsia" w:hAnsi="宋体" w:eastAsiaTheme="minorEastAsia"/>
          <w:color w:val="auto"/>
          <w:sz w:val="21"/>
          <w:szCs w:val="21"/>
          <w:highlight w:val="none"/>
          <w:lang w:eastAsia="zh-CN"/>
        </w:rPr>
        <w:t>响应文件</w:t>
      </w:r>
      <w:r>
        <w:rPr>
          <w:rFonts w:hint="eastAsia" w:asciiTheme="minorEastAsia" w:hAnsiTheme="minorEastAsia" w:eastAsiaTheme="minorEastAsia" w:cstheme="minorEastAsia"/>
          <w:color w:val="auto"/>
          <w:sz w:val="24"/>
          <w:szCs w:val="24"/>
          <w:highlight w:val="none"/>
          <w:lang w:val="zh-CN" w:eastAsia="zh-CN"/>
        </w:rPr>
        <w:t>递交时间：</w:t>
      </w:r>
      <w:r>
        <w:rPr>
          <w:rFonts w:hint="eastAsia" w:asciiTheme="minorEastAsia" w:hAnsiTheme="minorEastAsia" w:eastAsiaTheme="minorEastAsia" w:cstheme="minorEastAsia"/>
          <w:color w:val="auto"/>
          <w:sz w:val="24"/>
          <w:szCs w:val="24"/>
          <w:highlight w:val="none"/>
          <w:u w:val="single"/>
          <w:lang w:val="en-US" w:eastAsia="zh-CN"/>
        </w:rPr>
        <w:t>2023</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u w:val="single"/>
          <w:lang w:val="en-US" w:eastAsia="zh-CN"/>
        </w:rPr>
        <w:t>14</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lang w:eastAsia="zh-CN"/>
        </w:rPr>
        <w:t>时</w:t>
      </w:r>
      <w:r>
        <w:rPr>
          <w:rFonts w:hint="eastAsia" w:asciiTheme="minorEastAsia" w:hAnsiTheme="minorEastAsia" w:eastAsiaTheme="minorEastAsia" w:cstheme="minorEastAsia"/>
          <w:color w:val="auto"/>
          <w:sz w:val="24"/>
          <w:szCs w:val="24"/>
          <w:highlight w:val="none"/>
          <w:u w:val="single"/>
          <w:lang w:val="en-US" w:eastAsia="zh-CN"/>
        </w:rPr>
        <w:t>00</w:t>
      </w:r>
      <w:r>
        <w:rPr>
          <w:rFonts w:hint="eastAsia" w:asciiTheme="minorEastAsia" w:hAnsiTheme="minorEastAsia" w:eastAsiaTheme="minorEastAsia" w:cstheme="minorEastAsia"/>
          <w:color w:val="auto"/>
          <w:sz w:val="24"/>
          <w:szCs w:val="24"/>
          <w:highlight w:val="none"/>
          <w:lang w:eastAsia="zh-CN"/>
        </w:rPr>
        <w:t>分至</w:t>
      </w:r>
      <w:r>
        <w:rPr>
          <w:rFonts w:hint="eastAsia" w:asciiTheme="minorEastAsia" w:hAnsiTheme="minorEastAsia" w:eastAsiaTheme="minorEastAsia" w:cstheme="minorEastAsia"/>
          <w:color w:val="auto"/>
          <w:sz w:val="24"/>
          <w:szCs w:val="24"/>
          <w:highlight w:val="none"/>
          <w:u w:val="single"/>
          <w:lang w:val="en-US" w:eastAsia="zh-CN"/>
        </w:rPr>
        <w:t>2023</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u w:val="single"/>
          <w:lang w:val="en-US" w:eastAsia="zh-CN"/>
        </w:rPr>
        <w:t>14</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lang w:eastAsia="zh-CN"/>
        </w:rPr>
        <w:t>时</w:t>
      </w:r>
      <w:r>
        <w:rPr>
          <w:rFonts w:hint="eastAsia" w:asciiTheme="minorEastAsia" w:hAnsiTheme="minorEastAsia" w:eastAsiaTheme="minorEastAsia" w:cstheme="minorEastAsia"/>
          <w:color w:val="auto"/>
          <w:sz w:val="24"/>
          <w:szCs w:val="24"/>
          <w:highlight w:val="none"/>
          <w:u w:val="single"/>
          <w:lang w:val="en-US" w:eastAsia="zh-CN"/>
        </w:rPr>
        <w:t>30</w:t>
      </w:r>
      <w:r>
        <w:rPr>
          <w:rFonts w:hint="eastAsia" w:asciiTheme="minorEastAsia" w:hAnsiTheme="minorEastAsia" w:eastAsiaTheme="minorEastAsia" w:cstheme="minorEastAsia"/>
          <w:color w:val="auto"/>
          <w:sz w:val="24"/>
          <w:szCs w:val="24"/>
          <w:highlight w:val="none"/>
          <w:lang w:eastAsia="zh-CN"/>
        </w:rPr>
        <w:t>分（北京时间）。</w:t>
      </w:r>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zh-CN" w:eastAsia="zh-CN"/>
        </w:rPr>
        <w:t>（三）</w:t>
      </w:r>
      <w:r>
        <w:rPr>
          <w:rFonts w:hint="eastAsia" w:hAnsi="宋体" w:eastAsiaTheme="minorEastAsia"/>
          <w:color w:val="auto"/>
          <w:sz w:val="21"/>
          <w:szCs w:val="21"/>
          <w:highlight w:val="none"/>
          <w:lang w:eastAsia="zh-CN"/>
        </w:rPr>
        <w:t>响应文件</w:t>
      </w:r>
      <w:r>
        <w:rPr>
          <w:rFonts w:hint="eastAsia" w:asciiTheme="minorEastAsia" w:hAnsiTheme="minorEastAsia" w:eastAsiaTheme="minorEastAsia" w:cstheme="minorEastAsia"/>
          <w:color w:val="auto"/>
          <w:sz w:val="24"/>
          <w:szCs w:val="24"/>
          <w:highlight w:val="none"/>
          <w:lang w:val="zh-CN" w:eastAsia="zh-CN"/>
        </w:rPr>
        <w:t>递交截止时间及</w:t>
      </w:r>
      <w:r>
        <w:rPr>
          <w:rFonts w:hint="eastAsia" w:asciiTheme="minorEastAsia" w:hAnsiTheme="minorEastAsia" w:cstheme="minorEastAsia"/>
          <w:color w:val="auto"/>
          <w:sz w:val="24"/>
          <w:szCs w:val="24"/>
          <w:highlight w:val="none"/>
          <w:lang w:val="zh-CN" w:eastAsia="zh-CN"/>
        </w:rPr>
        <w:t>评审</w:t>
      </w:r>
      <w:r>
        <w:rPr>
          <w:rFonts w:hint="eastAsia" w:asciiTheme="minorEastAsia" w:hAnsiTheme="minorEastAsia" w:eastAsiaTheme="minorEastAsia" w:cstheme="minorEastAsia"/>
          <w:color w:val="auto"/>
          <w:sz w:val="24"/>
          <w:szCs w:val="24"/>
          <w:highlight w:val="none"/>
          <w:lang w:val="zh-CN" w:eastAsia="zh-CN"/>
        </w:rPr>
        <w:t>时间：</w:t>
      </w:r>
      <w:r>
        <w:rPr>
          <w:rFonts w:hint="eastAsia" w:asciiTheme="minorEastAsia" w:hAnsiTheme="minorEastAsia" w:eastAsiaTheme="minorEastAsia" w:cstheme="minorEastAsia"/>
          <w:color w:val="auto"/>
          <w:sz w:val="24"/>
          <w:szCs w:val="24"/>
          <w:highlight w:val="none"/>
          <w:u w:val="single"/>
          <w:lang w:val="en-US" w:eastAsia="zh-CN"/>
        </w:rPr>
        <w:t>2023</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u w:val="single"/>
          <w:lang w:val="en-US" w:eastAsia="zh-CN"/>
        </w:rPr>
        <w:t>14</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lang w:eastAsia="zh-CN"/>
        </w:rPr>
        <w:t>时</w:t>
      </w:r>
      <w:r>
        <w:rPr>
          <w:rFonts w:hint="eastAsia" w:asciiTheme="minorEastAsia" w:hAnsiTheme="minorEastAsia" w:eastAsiaTheme="minorEastAsia" w:cstheme="minorEastAsia"/>
          <w:color w:val="auto"/>
          <w:sz w:val="24"/>
          <w:szCs w:val="24"/>
          <w:highlight w:val="none"/>
          <w:u w:val="single"/>
          <w:lang w:val="en-US" w:eastAsia="zh-CN"/>
        </w:rPr>
        <w:t>30</w:t>
      </w:r>
      <w:r>
        <w:rPr>
          <w:rFonts w:hint="eastAsia" w:asciiTheme="minorEastAsia" w:hAnsiTheme="minorEastAsia" w:eastAsiaTheme="minorEastAsia" w:cstheme="minorEastAsia"/>
          <w:color w:val="auto"/>
          <w:sz w:val="24"/>
          <w:szCs w:val="24"/>
          <w:highlight w:val="none"/>
          <w:lang w:eastAsia="zh-CN"/>
        </w:rPr>
        <w:t>分（北京时间）。</w:t>
      </w:r>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zh-CN" w:eastAsia="zh-CN"/>
        </w:rPr>
        <w:t>（四）</w:t>
      </w:r>
      <w:r>
        <w:rPr>
          <w:rFonts w:hint="eastAsia" w:asciiTheme="minorEastAsia" w:hAnsiTheme="minorEastAsia" w:cstheme="minorEastAsia"/>
          <w:color w:val="auto"/>
          <w:sz w:val="24"/>
          <w:szCs w:val="24"/>
          <w:lang w:val="zh-CN" w:eastAsia="zh-CN"/>
        </w:rPr>
        <w:t>评审</w:t>
      </w:r>
      <w:r>
        <w:rPr>
          <w:rFonts w:hint="eastAsia" w:asciiTheme="minorEastAsia" w:hAnsiTheme="minorEastAsia" w:eastAsiaTheme="minorEastAsia" w:cstheme="minorEastAsia"/>
          <w:color w:val="auto"/>
          <w:sz w:val="24"/>
          <w:szCs w:val="24"/>
          <w:lang w:val="zh-CN" w:eastAsia="zh-CN"/>
        </w:rPr>
        <w:t>地点：</w:t>
      </w:r>
      <w:r>
        <w:rPr>
          <w:rFonts w:hint="eastAsia" w:asciiTheme="minorEastAsia" w:hAnsiTheme="minorEastAsia" w:eastAsiaTheme="minorEastAsia" w:cstheme="minorEastAsia"/>
          <w:color w:val="auto"/>
          <w:sz w:val="24"/>
          <w:szCs w:val="24"/>
          <w:lang w:eastAsia="zh-CN"/>
        </w:rPr>
        <w:t>南方医科大学第七附属医院全科医学楼四楼招标采购会议室413（佛山市南海区里水镇里官路得胜路段28号）。</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eastAsia="宋体" w:asciiTheme="minorEastAsia" w:hAnsiTheme="minorEastAsia" w:cstheme="minorEastAsia"/>
          <w:b/>
          <w:bCs/>
          <w:color w:val="auto"/>
          <w:sz w:val="24"/>
          <w:szCs w:val="24"/>
          <w:lang w:eastAsia="zh-CN"/>
        </w:rPr>
      </w:pPr>
      <w:bookmarkStart w:id="13" w:name="_Toc22400"/>
      <w:bookmarkStart w:id="14" w:name="_Toc27761"/>
      <w:r>
        <w:rPr>
          <w:rFonts w:hint="eastAsia" w:eastAsia="宋体" w:asciiTheme="minorEastAsia" w:hAnsiTheme="minorEastAsia" w:cstheme="minorEastAsia"/>
          <w:b/>
          <w:bCs/>
          <w:color w:val="auto"/>
          <w:sz w:val="24"/>
          <w:szCs w:val="24"/>
          <w:lang w:eastAsia="zh-CN"/>
        </w:rPr>
        <w:t>五、公告期限</w:t>
      </w:r>
      <w:bookmarkEnd w:id="13"/>
      <w:bookmarkEnd w:id="14"/>
    </w:p>
    <w:p>
      <w:pPr>
        <w:pageBreakBefore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自本公告发布之日起</w:t>
      </w:r>
      <w:r>
        <w:rPr>
          <w:rFonts w:hint="eastAsia" w:hAnsi="宋体" w:cs="宋体"/>
          <w:color w:val="auto"/>
          <w:sz w:val="24"/>
          <w:szCs w:val="24"/>
          <w:lang w:val="en-US" w:eastAsia="zh-CN"/>
        </w:rPr>
        <w:t>4</w:t>
      </w:r>
      <w:bookmarkStart w:id="92" w:name="_GoBack"/>
      <w:bookmarkEnd w:id="92"/>
      <w:r>
        <w:rPr>
          <w:rFonts w:hint="eastAsia" w:ascii="宋体" w:hAnsi="宋体" w:eastAsia="宋体" w:cs="宋体"/>
          <w:color w:val="auto"/>
          <w:sz w:val="24"/>
          <w:szCs w:val="24"/>
          <w:lang w:eastAsia="zh-CN"/>
        </w:rPr>
        <w:t>个工作日。</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eastAsia="宋体" w:asciiTheme="minorEastAsia" w:hAnsiTheme="minorEastAsia" w:cstheme="minorEastAsia"/>
          <w:b/>
          <w:bCs/>
          <w:color w:val="auto"/>
          <w:sz w:val="24"/>
          <w:szCs w:val="24"/>
          <w:lang w:eastAsia="zh-CN"/>
        </w:rPr>
      </w:pPr>
      <w:bookmarkStart w:id="15" w:name="_Toc11233"/>
      <w:bookmarkStart w:id="16" w:name="_Toc26431"/>
      <w:r>
        <w:rPr>
          <w:rFonts w:hint="eastAsia" w:eastAsia="宋体" w:asciiTheme="minorEastAsia" w:hAnsiTheme="minorEastAsia" w:cstheme="minorEastAsia"/>
          <w:b/>
          <w:bCs/>
          <w:color w:val="auto"/>
          <w:sz w:val="24"/>
          <w:szCs w:val="24"/>
          <w:lang w:eastAsia="zh-CN"/>
        </w:rPr>
        <w:t>六、其他补充事宜</w:t>
      </w:r>
      <w:bookmarkEnd w:id="15"/>
      <w:bookmarkEnd w:id="16"/>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（一）本项目谈判文件只在远东电子交易平台在线上获取，</w:t>
      </w:r>
      <w:r>
        <w:rPr>
          <w:rFonts w:hint="eastAsia" w:hAnsi="宋体" w:cs="宋体"/>
          <w:color w:val="auto"/>
          <w:sz w:val="24"/>
          <w:szCs w:val="24"/>
          <w:lang w:eastAsia="zh-CN"/>
        </w:rPr>
        <w:t>响应供应商</w:t>
      </w:r>
      <w:r>
        <w:rPr>
          <w:rFonts w:hint="eastAsia" w:ascii="宋体" w:hAnsi="宋体" w:eastAsia="宋体" w:cs="宋体"/>
          <w:color w:val="auto"/>
          <w:sz w:val="24"/>
          <w:szCs w:val="24"/>
          <w:lang w:eastAsia="zh-CN"/>
        </w:rPr>
        <w:t>在获取谈判文件之前，登录广东远东招标代理有限公司网站http://www.gdydzb.com或远东电子交易平台http://trade.gdydzb.com进行网上注册（已注册请忽略，直接登录进行报名与购标操作），具体流程操作见网站http://www.gdydzb.com“下载专区——投标人操作手册”或远东电子交易平台http://trade.gdydzb.com 登陆窗口下的“操作手册”。</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符合资格的</w:t>
      </w:r>
      <w:r>
        <w:rPr>
          <w:rFonts w:hint="eastAsia" w:hAnsi="宋体" w:cs="宋体"/>
          <w:color w:val="auto"/>
          <w:sz w:val="24"/>
          <w:szCs w:val="24"/>
          <w:lang w:eastAsia="zh-CN"/>
        </w:rPr>
        <w:t>响应供应商</w:t>
      </w:r>
      <w:r>
        <w:rPr>
          <w:rFonts w:hint="eastAsia" w:ascii="宋体" w:hAnsi="宋体" w:eastAsia="宋体" w:cs="宋体"/>
          <w:color w:val="auto"/>
          <w:sz w:val="24"/>
          <w:szCs w:val="24"/>
          <w:lang w:eastAsia="zh-CN"/>
        </w:rPr>
        <w:t>在网上注册成功后方可报名与获取谈判文件，主要操作过程如下：</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注册：在远东电子交易平台(http://trade.gdydzb.com)完成注册（详细可查看《投标人操作手册》）；</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选择项目：登录后，在“所有项目”中，搜索到需要参与的项目，点击“投标”；</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报名参与：选择相应的标段/子包报名登记资料（请根据供应商资格提交相应的资料扫描件，如有多个请全部压缩成一个文件再上传），提交后请等待审核；</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zh-CN" w:eastAsia="zh-CN"/>
        </w:rPr>
        <w:t>获取谈判文件：在登记资料通过审核后，请在“标书购买”中选择“下载”。</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本项目对供应商的资格审查采用资格后审方式，已办理报名并成功购买谈判文件的供应商参加报价的，不代表通过资格性审查、符合性审查。其资格最终以其响应</w:t>
      </w:r>
      <w:r>
        <w:rPr>
          <w:rFonts w:hint="eastAsia" w:hAnsi="宋体" w:cs="宋体"/>
          <w:color w:val="auto"/>
          <w:sz w:val="24"/>
          <w:szCs w:val="24"/>
          <w:lang w:val="zh-CN" w:eastAsia="zh-CN"/>
        </w:rPr>
        <w:t>响应文件</w:t>
      </w:r>
      <w:r>
        <w:rPr>
          <w:rFonts w:hint="eastAsia" w:ascii="宋体" w:hAnsi="宋体" w:eastAsia="宋体" w:cs="宋体"/>
          <w:color w:val="auto"/>
          <w:sz w:val="24"/>
          <w:szCs w:val="24"/>
          <w:lang w:val="zh-CN" w:eastAsia="zh-CN"/>
        </w:rPr>
        <w:t>所附的资格文件经相关评审程序审核结论为准。本项目不接受其他方式的报名和获取谈判文件。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contextualSpacing/>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（二）本项目不举行集中答疑会，</w:t>
      </w:r>
      <w:r>
        <w:rPr>
          <w:rFonts w:hint="eastAsia" w:hAnsi="宋体" w:cs="宋体"/>
          <w:color w:val="auto"/>
          <w:sz w:val="24"/>
          <w:szCs w:val="24"/>
          <w:lang w:val="zh-CN" w:eastAsia="zh-CN"/>
        </w:rPr>
        <w:t>供应商</w:t>
      </w:r>
      <w:r>
        <w:rPr>
          <w:rFonts w:hint="eastAsia" w:ascii="宋体" w:hAnsi="宋体" w:eastAsia="宋体" w:cs="宋体"/>
          <w:color w:val="auto"/>
          <w:sz w:val="24"/>
          <w:szCs w:val="24"/>
          <w:lang w:val="zh-CN" w:eastAsia="zh-CN"/>
        </w:rPr>
        <w:t>如有疑问请以书面形式向采购代理机构咨询。</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hAnsi="宋体"/>
          <w:color w:val="auto"/>
          <w:sz w:val="21"/>
          <w:szCs w:val="21"/>
          <w:lang w:eastAsia="zh-CN"/>
        </w:rPr>
      </w:pPr>
      <w:bookmarkStart w:id="17" w:name="_Toc8094"/>
      <w:bookmarkStart w:id="18" w:name="_Toc26726"/>
      <w:r>
        <w:rPr>
          <w:rFonts w:hint="eastAsia" w:eastAsia="宋体" w:asciiTheme="minorEastAsia" w:hAnsiTheme="minorEastAsia" w:cstheme="minorEastAsia"/>
          <w:color w:val="auto"/>
          <w:sz w:val="24"/>
          <w:szCs w:val="24"/>
          <w:lang w:val="zh-CN" w:eastAsia="zh-CN"/>
        </w:rPr>
        <w:t>（三）质疑受理：</w:t>
      </w:r>
      <w:r>
        <w:rPr>
          <w:rFonts w:hint="eastAsia" w:cs="宋体"/>
          <w:color w:val="auto"/>
          <w:sz w:val="24"/>
          <w:szCs w:val="24"/>
          <w:lang w:eastAsia="zh-CN"/>
        </w:rPr>
        <w:t>响应供应商</w:t>
      </w:r>
      <w:r>
        <w:rPr>
          <w:rFonts w:hint="eastAsia" w:ascii="宋体" w:hAnsi="宋体" w:eastAsia="宋体" w:cs="宋体"/>
          <w:color w:val="auto"/>
          <w:sz w:val="24"/>
          <w:szCs w:val="24"/>
        </w:rPr>
        <w:t>如认为</w:t>
      </w:r>
      <w:r>
        <w:rPr>
          <w:rFonts w:hint="eastAsia" w:cs="宋体"/>
          <w:color w:val="auto"/>
          <w:sz w:val="24"/>
          <w:szCs w:val="24"/>
          <w:lang w:eastAsia="zh-CN"/>
        </w:rPr>
        <w:t>谈判文件</w:t>
      </w:r>
      <w:r>
        <w:rPr>
          <w:rFonts w:hint="eastAsia" w:ascii="宋体" w:hAnsi="宋体" w:eastAsia="宋体" w:cs="宋体"/>
          <w:color w:val="auto"/>
          <w:sz w:val="24"/>
          <w:szCs w:val="24"/>
        </w:rPr>
        <w:t>内容损害其权益的，可在公示期间或自期满之日起</w:t>
      </w:r>
      <w:r>
        <w:rPr>
          <w:rFonts w:hint="eastAsia" w:eastAsia="宋体" w:cs="宋体"/>
          <w:color w:val="auto"/>
          <w:sz w:val="24"/>
          <w:szCs w:val="24"/>
          <w:lang w:val="en-US" w:eastAsia="zh-CN"/>
        </w:rPr>
        <w:t>3</w:t>
      </w:r>
      <w:r>
        <w:rPr>
          <w:rFonts w:hint="eastAsia" w:ascii="宋体" w:hAnsi="宋体" w:eastAsia="宋体" w:cs="宋体"/>
          <w:color w:val="auto"/>
          <w:sz w:val="24"/>
          <w:szCs w:val="24"/>
        </w:rPr>
        <w:t>个工作日内，以书面形式（加盖单位公章的原件，其它形式无效）向采购代理机构提出质疑</w:t>
      </w:r>
      <w:r>
        <w:rPr>
          <w:rFonts w:hint="eastAsia" w:ascii="宋体" w:hAnsi="宋体" w:eastAsia="宋体" w:cs="宋体"/>
          <w:color w:val="auto"/>
          <w:sz w:val="24"/>
          <w:szCs w:val="24"/>
          <w:lang w:eastAsia="zh-CN"/>
        </w:rPr>
        <w:t>（联系人：</w:t>
      </w:r>
      <w:r>
        <w:rPr>
          <w:rFonts w:hint="eastAsia" w:ascii="宋体" w:hAnsi="宋体" w:eastAsia="宋体" w:cs="宋体"/>
          <w:color w:val="auto"/>
          <w:sz w:val="24"/>
          <w:szCs w:val="24"/>
        </w:rPr>
        <w:t>董先生</w:t>
      </w:r>
      <w:r>
        <w:rPr>
          <w:rFonts w:hint="eastAsia" w:ascii="宋体" w:hAnsi="宋体" w:eastAsia="宋体" w:cs="宋体"/>
          <w:color w:val="auto"/>
          <w:sz w:val="24"/>
          <w:szCs w:val="24"/>
          <w:lang w:eastAsia="zh-CN"/>
        </w:rPr>
        <w:t>，联系电话：</w:t>
      </w:r>
      <w:r>
        <w:rPr>
          <w:rFonts w:hint="eastAsia" w:ascii="宋体" w:hAnsi="宋体" w:eastAsia="宋体" w:cs="宋体"/>
          <w:color w:val="auto"/>
          <w:sz w:val="24"/>
          <w:szCs w:val="24"/>
        </w:rPr>
        <w:t>020-83642820-8</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lang w:eastAsia="zh-CN"/>
        </w:rPr>
        <w:t>）。</w:t>
      </w:r>
      <w:bookmarkEnd w:id="17"/>
      <w:bookmarkEnd w:id="18"/>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eastAsia="宋体" w:asciiTheme="minorEastAsia" w:hAnsiTheme="minorEastAsia" w:cstheme="minorEastAsia"/>
          <w:b/>
          <w:bCs/>
          <w:color w:val="auto"/>
          <w:sz w:val="24"/>
          <w:szCs w:val="24"/>
          <w:lang w:val="zh-CN" w:eastAsia="zh-CN"/>
        </w:rPr>
      </w:pPr>
      <w:bookmarkStart w:id="19" w:name="_Toc27553"/>
      <w:bookmarkStart w:id="20" w:name="_Toc10758"/>
      <w:r>
        <w:rPr>
          <w:rFonts w:hint="eastAsia" w:eastAsia="宋体" w:asciiTheme="minorEastAsia" w:hAnsiTheme="minorEastAsia" w:cstheme="minorEastAsia"/>
          <w:b/>
          <w:bCs/>
          <w:color w:val="auto"/>
          <w:sz w:val="24"/>
          <w:szCs w:val="24"/>
          <w:lang w:val="zh-CN" w:eastAsia="zh-CN"/>
        </w:rPr>
        <w:t>七、项目联系人与联系方式</w:t>
      </w:r>
      <w:bookmarkEnd w:id="19"/>
      <w:bookmarkEnd w:id="20"/>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采购代理机构名称：</w:t>
      </w:r>
      <w:r>
        <w:rPr>
          <w:rFonts w:hint="eastAsia" w:ascii="宋体" w:hAnsi="宋体" w:eastAsia="宋体" w:cs="宋体"/>
          <w:color w:val="auto"/>
          <w:sz w:val="24"/>
          <w:szCs w:val="24"/>
          <w:lang w:eastAsia="zh-CN"/>
        </w:rPr>
        <w:t>广东远东招标代理有限公司</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联系人： 董先生</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电话：020-83642820-817  </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邮箱：</w:t>
      </w:r>
      <w:r>
        <w:rPr>
          <w:rFonts w:hint="eastAsia" w:ascii="宋体" w:hAnsi="宋体" w:eastAsia="宋体" w:cs="宋体"/>
          <w:color w:val="auto"/>
          <w:sz w:val="24"/>
          <w:szCs w:val="24"/>
          <w:lang w:val="en-US" w:eastAsia="zh-CN"/>
        </w:rPr>
        <w:t>335862279</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qq</w:t>
      </w:r>
      <w:r>
        <w:rPr>
          <w:rFonts w:hint="eastAsia" w:ascii="宋体" w:hAnsi="宋体" w:eastAsia="宋体" w:cs="宋体"/>
          <w:color w:val="auto"/>
          <w:sz w:val="24"/>
          <w:szCs w:val="24"/>
        </w:rPr>
        <w:t>.com</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联系地址：广州市越秀北路222号越良大厦6楼</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采购人名称：</w:t>
      </w:r>
      <w:r>
        <w:rPr>
          <w:rFonts w:hint="eastAsia" w:ascii="宋体" w:hAnsi="宋体" w:eastAsia="宋体" w:cs="宋体"/>
          <w:color w:val="auto"/>
          <w:sz w:val="24"/>
          <w:szCs w:val="24"/>
          <w:lang w:eastAsia="zh-CN"/>
        </w:rPr>
        <w:t>南方医科大学第七附属医院</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余</w:t>
      </w:r>
      <w:r>
        <w:rPr>
          <w:rFonts w:hint="eastAsia" w:ascii="宋体" w:hAnsi="宋体" w:eastAsia="宋体" w:cs="宋体"/>
          <w:color w:val="auto"/>
          <w:sz w:val="24"/>
          <w:szCs w:val="24"/>
          <w:lang w:val="en-US" w:eastAsia="zh-CN"/>
        </w:rPr>
        <w:t>老师/卢老师</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电</w:t>
      </w:r>
      <w:r>
        <w:rPr>
          <w:rFonts w:hint="eastAsia" w:ascii="宋体" w:hAnsi="宋体" w:eastAsia="宋体" w:cs="宋体"/>
          <w:color w:val="auto"/>
          <w:sz w:val="24"/>
          <w:szCs w:val="24"/>
          <w:lang w:eastAsia="zh-CN"/>
        </w:rPr>
        <w:t>话：0757－85631665</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联系地址：佛山市南海区里水镇里官路得胜段28号</w:t>
      </w:r>
    </w:p>
    <w:p>
      <w:pPr>
        <w:pStyle w:val="85"/>
        <w:keepNext/>
        <w:keepLines/>
        <w:pageBreakBefore w:val="0"/>
        <w:widowControl/>
        <w:kinsoku/>
        <w:wordWrap/>
        <w:overflowPunct/>
        <w:topLinePunct w:val="0"/>
        <w:autoSpaceDE/>
        <w:autoSpaceDN/>
        <w:bidi w:val="0"/>
        <w:adjustRightInd/>
        <w:snapToGrid/>
        <w:spacing w:line="460" w:lineRule="exact"/>
        <w:ind w:firstLine="472" w:firstLineChars="200"/>
        <w:textAlignment w:val="auto"/>
        <w:outlineLvl w:val="9"/>
        <w:rPr>
          <w:rFonts w:hint="eastAsia" w:eastAsia="宋体" w:asciiTheme="minorEastAsia" w:hAnsiTheme="minorEastAsia" w:cstheme="minorEastAsia"/>
          <w:b/>
          <w:bCs/>
          <w:color w:val="auto"/>
          <w:sz w:val="24"/>
          <w:szCs w:val="24"/>
          <w:lang w:val="zh-CN" w:eastAsia="zh-CN"/>
        </w:rPr>
      </w:pPr>
      <w:bookmarkStart w:id="21" w:name="_Toc2190"/>
      <w:bookmarkStart w:id="22" w:name="_Toc25700"/>
      <w:r>
        <w:rPr>
          <w:rFonts w:hint="eastAsia" w:eastAsia="宋体" w:asciiTheme="minorEastAsia" w:hAnsiTheme="minorEastAsia" w:cstheme="minorEastAsia"/>
          <w:b/>
          <w:bCs/>
          <w:color w:val="auto"/>
          <w:sz w:val="24"/>
          <w:szCs w:val="24"/>
          <w:lang w:val="zh-CN" w:eastAsia="zh-CN"/>
        </w:rPr>
        <w:t>八、信息公告发布媒体</w:t>
      </w:r>
      <w:bookmarkEnd w:id="21"/>
      <w:bookmarkEnd w:id="22"/>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lang w:eastAsia="zh-CN"/>
        </w:rPr>
        <w:t>）南方医科大学第七附属医院（http://nyd7y.com）</w:t>
      </w:r>
    </w:p>
    <w:p>
      <w:pPr>
        <w:pageBreakBefore w:val="0"/>
        <w:widowControl/>
        <w:kinsoku/>
        <w:wordWrap/>
        <w:overflowPunct/>
        <w:topLinePunct w:val="0"/>
        <w:bidi w:val="0"/>
        <w:snapToGrid/>
        <w:spacing w:line="460" w:lineRule="exact"/>
        <w:ind w:firstLine="472" w:firstLineChars="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lang w:eastAsia="zh-CN"/>
        </w:rPr>
        <w:t>）广东远东招标代理有限公司网站（</w:t>
      </w:r>
      <w:r>
        <w:rPr>
          <w:rFonts w:hint="eastAsia" w:ascii="宋体" w:hAnsi="宋体" w:eastAsia="宋体" w:cs="宋体"/>
          <w:color w:val="auto"/>
          <w:sz w:val="24"/>
          <w:szCs w:val="24"/>
          <w:lang w:eastAsia="zh-CN"/>
        </w:rPr>
        <w:fldChar w:fldCharType="begin"/>
      </w:r>
      <w:r>
        <w:rPr>
          <w:rFonts w:hint="eastAsia" w:ascii="宋体" w:hAnsi="宋体" w:eastAsia="宋体" w:cs="宋体"/>
          <w:color w:val="auto"/>
          <w:sz w:val="24"/>
          <w:szCs w:val="24"/>
          <w:lang w:eastAsia="zh-CN"/>
        </w:rPr>
        <w:instrText xml:space="preserve">HYPERLINK "http://www.cfet.com.cn/"</w:instrText>
      </w:r>
      <w:r>
        <w:rPr>
          <w:rFonts w:hint="eastAsia" w:ascii="宋体" w:hAnsi="宋体" w:eastAsia="宋体" w:cs="宋体"/>
          <w:color w:val="auto"/>
          <w:sz w:val="24"/>
          <w:szCs w:val="24"/>
          <w:lang w:eastAsia="zh-CN"/>
        </w:rPr>
        <w:fldChar w:fldCharType="separate"/>
      </w:r>
      <w:r>
        <w:rPr>
          <w:rFonts w:hint="eastAsia" w:ascii="宋体" w:hAnsi="宋体" w:eastAsia="宋体" w:cs="宋体"/>
          <w:color w:val="auto"/>
          <w:sz w:val="24"/>
          <w:szCs w:val="24"/>
          <w:lang w:eastAsia="zh-CN"/>
        </w:rPr>
        <w:t>www.gdydzb.com/</w:t>
      </w:r>
      <w:r>
        <w:rPr>
          <w:rFonts w:hint="eastAsia" w:ascii="宋体" w:hAnsi="宋体" w:eastAsia="宋体" w:cs="宋体"/>
          <w:color w:val="auto"/>
          <w:sz w:val="24"/>
          <w:szCs w:val="24"/>
          <w:lang w:eastAsia="zh-CN"/>
        </w:rPr>
        <w:fldChar w:fldCharType="end"/>
      </w:r>
      <w:r>
        <w:rPr>
          <w:rFonts w:hint="eastAsia" w:ascii="宋体" w:hAnsi="宋体" w:eastAsia="宋体" w:cs="宋体"/>
          <w:color w:val="auto"/>
          <w:sz w:val="24"/>
          <w:szCs w:val="24"/>
          <w:lang w:eastAsia="zh-CN"/>
        </w:rPr>
        <w:t>）</w:t>
      </w:r>
    </w:p>
    <w:p>
      <w:pPr>
        <w:pageBreakBefore w:val="0"/>
        <w:kinsoku/>
        <w:wordWrap/>
        <w:overflowPunct/>
        <w:topLinePunct w:val="0"/>
        <w:bidi w:val="0"/>
        <w:snapToGrid/>
        <w:spacing w:line="460" w:lineRule="exact"/>
        <w:ind w:firstLine="472"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pStyle w:val="3"/>
        <w:rPr>
          <w:rFonts w:hint="eastAsia"/>
        </w:rPr>
      </w:pPr>
    </w:p>
    <w:p>
      <w:pPr>
        <w:pageBreakBefore w:val="0"/>
        <w:widowControl/>
        <w:kinsoku/>
        <w:wordWrap/>
        <w:overflowPunct/>
        <w:topLinePunct w:val="0"/>
        <w:bidi w:val="0"/>
        <w:snapToGrid/>
        <w:spacing w:line="460" w:lineRule="exact"/>
        <w:ind w:firstLine="5192" w:firstLineChars="2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南方医科大学第七附属医院 </w:t>
      </w:r>
    </w:p>
    <w:p>
      <w:pPr>
        <w:pageBreakBefore w:val="0"/>
        <w:widowControl/>
        <w:kinsoku/>
        <w:wordWrap/>
        <w:overflowPunct/>
        <w:topLinePunct w:val="0"/>
        <w:bidi w:val="0"/>
        <w:snapToGrid/>
        <w:spacing w:line="460" w:lineRule="exact"/>
        <w:ind w:firstLine="5192" w:firstLineChars="22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广东远东招标代理有限公司</w:t>
      </w:r>
    </w:p>
    <w:p>
      <w:pPr>
        <w:pageBreakBefore w:val="0"/>
        <w:widowControl/>
        <w:kinsoku/>
        <w:wordWrap/>
        <w:overflowPunct/>
        <w:topLinePunct w:val="0"/>
        <w:bidi w:val="0"/>
        <w:snapToGrid/>
        <w:spacing w:line="460" w:lineRule="exact"/>
        <w:ind w:firstLine="6136" w:firstLineChars="2600"/>
        <w:contextualSpacing/>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2023年</w:t>
      </w:r>
      <w:r>
        <w:rPr>
          <w:rFonts w:hint="eastAsia" w:hAnsi="宋体" w:cs="宋体"/>
          <w:color w:val="auto"/>
          <w:sz w:val="24"/>
          <w:szCs w:val="24"/>
          <w:lang w:val="en-US" w:eastAsia="zh-CN"/>
        </w:rPr>
        <w:t>4</w:t>
      </w:r>
      <w:r>
        <w:rPr>
          <w:rFonts w:hint="eastAsia" w:ascii="宋体" w:hAnsi="宋体" w:eastAsia="宋体" w:cs="宋体"/>
          <w:color w:val="auto"/>
          <w:sz w:val="24"/>
          <w:szCs w:val="24"/>
          <w:lang w:eastAsia="zh-CN"/>
        </w:rPr>
        <w:t>月</w:t>
      </w:r>
      <w:r>
        <w:rPr>
          <w:rFonts w:hint="eastAsia" w:hAnsi="宋体" w:cs="宋体"/>
          <w:color w:val="auto"/>
          <w:sz w:val="24"/>
          <w:szCs w:val="24"/>
          <w:lang w:val="en-US" w:eastAsia="zh-CN"/>
        </w:rPr>
        <w:t>7</w:t>
      </w:r>
      <w:r>
        <w:rPr>
          <w:rFonts w:hint="eastAsia" w:ascii="宋体" w:hAnsi="宋体" w:eastAsia="宋体" w:cs="宋体"/>
          <w:color w:val="auto"/>
          <w:sz w:val="24"/>
          <w:szCs w:val="24"/>
          <w:lang w:eastAsia="zh-CN"/>
        </w:rPr>
        <w:t>日</w:t>
      </w:r>
    </w:p>
    <w:p>
      <w:pPr>
        <w:rPr>
          <w:rFonts w:hint="eastAsia" w:ascii="宋体" w:hAnsi="宋体" w:eastAsia="宋体" w:cs="Times New Roman"/>
          <w:b/>
          <w:bCs/>
          <w:color w:val="auto"/>
          <w:kern w:val="44"/>
          <w:sz w:val="32"/>
          <w:szCs w:val="32"/>
          <w:lang w:val="zh-CN"/>
        </w:rPr>
      </w:pPr>
      <w:bookmarkStart w:id="23" w:name="_Toc382840838"/>
      <w:bookmarkStart w:id="24" w:name="_Toc382926889"/>
      <w:r>
        <w:rPr>
          <w:rFonts w:hint="eastAsia" w:ascii="宋体" w:hAnsi="宋体" w:eastAsia="宋体" w:cs="Times New Roman"/>
          <w:b/>
          <w:bCs/>
          <w:color w:val="auto"/>
          <w:kern w:val="44"/>
          <w:sz w:val="32"/>
          <w:szCs w:val="32"/>
          <w:lang w:val="zh-CN"/>
        </w:rPr>
        <w:br w:type="page"/>
      </w:r>
    </w:p>
    <w:p>
      <w:pPr>
        <w:keepNext/>
        <w:keepLines/>
        <w:pageBreakBefore/>
        <w:widowControl w:val="0"/>
        <w:tabs>
          <w:tab w:val="left" w:pos="1080"/>
        </w:tabs>
        <w:kinsoku/>
        <w:wordWrap/>
        <w:overflowPunct/>
        <w:topLinePunct w:val="0"/>
        <w:autoSpaceDE w:val="0"/>
        <w:autoSpaceDN w:val="0"/>
        <w:bidi w:val="0"/>
        <w:adjustRightInd w:val="0"/>
        <w:snapToGrid/>
        <w:spacing w:line="460" w:lineRule="exact"/>
        <w:ind w:left="0" w:firstLine="632" w:firstLineChars="200"/>
        <w:jc w:val="center"/>
        <w:textAlignment w:val="auto"/>
        <w:outlineLvl w:val="0"/>
        <w:rPr>
          <w:rFonts w:hAnsi="宋体"/>
          <w:b/>
          <w:bCs/>
          <w:color w:val="auto"/>
          <w:kern w:val="44"/>
          <w:sz w:val="32"/>
          <w:szCs w:val="32"/>
          <w:lang w:val="zh-CN"/>
        </w:rPr>
      </w:pPr>
      <w:bookmarkStart w:id="25" w:name="_Toc28456"/>
      <w:r>
        <w:rPr>
          <w:rFonts w:hint="eastAsia" w:ascii="宋体" w:hAnsi="宋体" w:eastAsia="宋体" w:cs="Times New Roman"/>
          <w:b/>
          <w:bCs/>
          <w:color w:val="auto"/>
          <w:kern w:val="44"/>
          <w:sz w:val="32"/>
          <w:szCs w:val="32"/>
          <w:lang w:val="zh-CN"/>
        </w:rPr>
        <w:br w:type="textWrapping"/>
      </w:r>
      <w:r>
        <w:rPr>
          <w:rFonts w:hint="eastAsia" w:ascii="宋体" w:hAnsi="宋体" w:eastAsia="宋体" w:cs="Times New Roman"/>
          <w:b/>
          <w:bCs/>
          <w:color w:val="auto"/>
          <w:kern w:val="44"/>
          <w:sz w:val="32"/>
          <w:szCs w:val="32"/>
          <w:lang w:val="zh-CN"/>
        </w:rPr>
        <w:t>第二篇</w:t>
      </w:r>
      <w:r>
        <w:rPr>
          <w:rFonts w:hint="eastAsia" w:ascii="宋体" w:hAnsi="宋体" w:eastAsia="宋体" w:cs="Times New Roman"/>
          <w:b/>
          <w:bCs/>
          <w:color w:val="auto"/>
          <w:kern w:val="44"/>
          <w:sz w:val="32"/>
          <w:szCs w:val="32"/>
          <w:lang w:val="zh-CN"/>
        </w:rPr>
        <w:tab/>
      </w:r>
      <w:r>
        <w:rPr>
          <w:rFonts w:hint="eastAsia" w:hAnsi="宋体" w:cs="Times New Roman"/>
          <w:b/>
          <w:bCs/>
          <w:color w:val="auto"/>
          <w:kern w:val="44"/>
          <w:sz w:val="32"/>
          <w:szCs w:val="32"/>
          <w:lang w:val="zh-CN"/>
        </w:rPr>
        <w:t>响应供应商</w:t>
      </w:r>
      <w:r>
        <w:rPr>
          <w:rFonts w:hint="eastAsia" w:ascii="宋体" w:hAnsi="宋体" w:eastAsia="宋体" w:cs="Times New Roman"/>
          <w:b/>
          <w:bCs/>
          <w:color w:val="auto"/>
          <w:kern w:val="44"/>
          <w:sz w:val="32"/>
          <w:szCs w:val="32"/>
          <w:lang w:val="zh-CN"/>
        </w:rPr>
        <w:t>须知</w:t>
      </w:r>
      <w:bookmarkEnd w:id="23"/>
      <w:bookmarkEnd w:id="24"/>
      <w:bookmarkEnd w:id="25"/>
    </w:p>
    <w:p>
      <w:pPr>
        <w:keepNext/>
        <w:keepLines/>
        <w:tabs>
          <w:tab w:val="left" w:pos="1134"/>
        </w:tabs>
        <w:kinsoku/>
        <w:overflowPunct/>
        <w:topLinePunct w:val="0"/>
        <w:bidi w:val="0"/>
        <w:spacing w:line="360" w:lineRule="auto"/>
        <w:ind w:left="1134" w:hanging="567"/>
        <w:jc w:val="center"/>
        <w:outlineLvl w:val="9"/>
        <w:rPr>
          <w:rFonts w:hAnsi="宋体"/>
          <w:b/>
          <w:bCs/>
          <w:color w:val="auto"/>
          <w:kern w:val="44"/>
          <w:lang w:val="zh-CN"/>
        </w:rPr>
      </w:pPr>
      <w:bookmarkStart w:id="26" w:name="_Toc382926890"/>
      <w:bookmarkStart w:id="27" w:name="_Toc382840839"/>
      <w:r>
        <w:rPr>
          <w:rFonts w:hint="eastAsia" w:hAnsi="宋体"/>
          <w:b/>
          <w:bCs/>
          <w:color w:val="auto"/>
          <w:kern w:val="44"/>
          <w:lang w:val="zh-CN"/>
        </w:rPr>
        <w:t>一、报价须知前附表</w:t>
      </w:r>
      <w:bookmarkEnd w:id="26"/>
      <w:bookmarkEnd w:id="27"/>
    </w:p>
    <w:tbl>
      <w:tblPr>
        <w:tblStyle w:val="21"/>
        <w:tblW w:w="9941"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116"/>
        <w:gridCol w:w="712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tblHeader/>
          <w:jc w:val="center"/>
        </w:trPr>
        <w:tc>
          <w:tcPr>
            <w:tcW w:w="699" w:type="dxa"/>
            <w:tcBorders>
              <w:top w:val="doub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Ansi="宋体"/>
                <w:color w:val="auto"/>
                <w:sz w:val="21"/>
                <w:szCs w:val="21"/>
              </w:rPr>
            </w:pPr>
            <w:r>
              <w:rPr>
                <w:rFonts w:hint="eastAsia" w:hAnsi="宋体"/>
                <w:color w:val="auto"/>
                <w:sz w:val="21"/>
                <w:szCs w:val="21"/>
              </w:rPr>
              <w:t>项目</w:t>
            </w:r>
          </w:p>
        </w:tc>
        <w:tc>
          <w:tcPr>
            <w:tcW w:w="2116" w:type="dxa"/>
            <w:tcBorders>
              <w:top w:val="doub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Ansi="宋体"/>
                <w:color w:val="auto"/>
                <w:sz w:val="21"/>
                <w:szCs w:val="21"/>
              </w:rPr>
            </w:pPr>
            <w:r>
              <w:rPr>
                <w:rFonts w:hint="eastAsia" w:hAnsi="宋体"/>
                <w:color w:val="auto"/>
                <w:sz w:val="21"/>
                <w:szCs w:val="21"/>
              </w:rPr>
              <w:t>内容</w:t>
            </w:r>
          </w:p>
        </w:tc>
        <w:tc>
          <w:tcPr>
            <w:tcW w:w="7126" w:type="dxa"/>
            <w:tcBorders>
              <w:top w:val="doub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jc w:val="center"/>
              <w:outlineLvl w:val="9"/>
              <w:rPr>
                <w:rFonts w:hAnsi="宋体"/>
                <w:color w:val="auto"/>
                <w:sz w:val="21"/>
                <w:szCs w:val="21"/>
              </w:rPr>
            </w:pPr>
            <w:r>
              <w:rPr>
                <w:rFonts w:hint="eastAsia" w:hAnsi="宋体"/>
                <w:color w:val="auto"/>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7"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Ansi="宋体"/>
                <w:color w:val="auto"/>
                <w:sz w:val="21"/>
                <w:szCs w:val="21"/>
              </w:rPr>
            </w:pPr>
            <w:r>
              <w:rPr>
                <w:rFonts w:hint="eastAsia" w:hAnsi="宋体"/>
                <w:color w:val="auto"/>
                <w:sz w:val="21"/>
                <w:szCs w:val="21"/>
              </w:rPr>
              <w:t>1</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sz w:val="21"/>
                <w:szCs w:val="21"/>
              </w:rPr>
              <w:t>资金来源</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sz w:val="21"/>
                <w:szCs w:val="21"/>
                <w:lang w:val="zh-CN"/>
              </w:rPr>
              <w:t>自筹资金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jc w:val="center"/>
        </w:trPr>
        <w:tc>
          <w:tcPr>
            <w:tcW w:w="699" w:type="dxa"/>
            <w:vMerge w:val="restart"/>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eastAsia" w:hAnsi="宋体" w:eastAsia="宋体"/>
                <w:color w:val="auto"/>
                <w:sz w:val="21"/>
                <w:szCs w:val="21"/>
                <w:lang w:eastAsia="zh-CN"/>
              </w:rPr>
            </w:pPr>
            <w:r>
              <w:rPr>
                <w:rFonts w:hint="eastAsia" w:hAnsi="宋体"/>
                <w:color w:val="auto"/>
                <w:sz w:val="21"/>
                <w:szCs w:val="21"/>
                <w:lang w:val="en-US" w:eastAsia="zh-CN"/>
              </w:rPr>
              <w:t>2</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int="eastAsia" w:hAnsi="宋体" w:eastAsia="宋体"/>
                <w:color w:val="auto"/>
                <w:sz w:val="21"/>
                <w:szCs w:val="21"/>
                <w:lang w:eastAsia="zh-CN"/>
              </w:rPr>
            </w:pPr>
            <w:r>
              <w:rPr>
                <w:rFonts w:hint="eastAsia" w:hAnsi="宋体"/>
                <w:color w:val="auto"/>
                <w:sz w:val="21"/>
                <w:szCs w:val="21"/>
                <w:lang w:eastAsia="zh-CN"/>
              </w:rPr>
              <w:t>合格的响应供应商</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color w:val="auto"/>
                <w:sz w:val="21"/>
                <w:szCs w:val="21"/>
                <w:u w:val="single"/>
              </w:rPr>
            </w:pPr>
            <w:r>
              <w:rPr>
                <w:rFonts w:hint="eastAsia" w:hAnsi="宋体"/>
                <w:color w:val="auto"/>
                <w:sz w:val="21"/>
                <w:szCs w:val="21"/>
                <w:lang w:val="zh-CN"/>
              </w:rPr>
              <w:t>具体要求见本谈判文件第一篇第二点“合格的响应供应商”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7" w:hRule="atLeast"/>
          <w:jc w:val="center"/>
        </w:trPr>
        <w:tc>
          <w:tcPr>
            <w:tcW w:w="699" w:type="dxa"/>
            <w:vMerge w:val="continue"/>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sz w:val="21"/>
                <w:szCs w:val="21"/>
              </w:rPr>
              <w:t>关于联合体</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color w:val="auto"/>
                <w:sz w:val="21"/>
                <w:szCs w:val="21"/>
                <w:lang w:val="zh-CN"/>
              </w:rPr>
            </w:pPr>
            <w:r>
              <w:rPr>
                <w:rFonts w:hint="eastAsia" w:ascii="宋体" w:hAnsi="宋体" w:eastAsia="宋体" w:cs="Times New Roman"/>
                <w:color w:val="auto"/>
                <w:sz w:val="21"/>
                <w:szCs w:val="21"/>
                <w:lang w:val="zh-CN"/>
              </w:rPr>
              <w:t>本项目不允许联合体报价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7" w:hRule="atLeast"/>
          <w:jc w:val="center"/>
        </w:trPr>
        <w:tc>
          <w:tcPr>
            <w:tcW w:w="699" w:type="dxa"/>
            <w:vMerge w:val="continue"/>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ind w:left="125"/>
              <w:outlineLvl w:val="9"/>
              <w:rPr>
                <w:rFonts w:hAnsi="宋体"/>
                <w:color w:val="auto"/>
                <w:sz w:val="21"/>
                <w:szCs w:val="21"/>
              </w:rPr>
            </w:pP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kern w:val="2"/>
                <w:sz w:val="21"/>
                <w:szCs w:val="21"/>
                <w:lang w:val="zh-CN"/>
              </w:rPr>
              <w:t>响应供应商必须满足条件</w:t>
            </w:r>
          </w:p>
        </w:tc>
        <w:tc>
          <w:tcPr>
            <w:tcW w:w="7126" w:type="dxa"/>
            <w:tcBorders>
              <w:top w:val="single" w:color="auto" w:sz="4" w:space="0"/>
              <w:left w:val="single" w:color="auto" w:sz="4" w:space="0"/>
              <w:bottom w:val="single" w:color="auto" w:sz="4" w:space="0"/>
              <w:right w:val="double" w:color="auto" w:sz="4" w:space="0"/>
            </w:tcBorders>
            <w:vAlign w:val="center"/>
          </w:tcPr>
          <w:p>
            <w:pPr>
              <w:keepLines/>
              <w:tabs>
                <w:tab w:val="left" w:pos="567"/>
                <w:tab w:val="left" w:pos="720"/>
                <w:tab w:val="left" w:pos="3460"/>
              </w:tabs>
              <w:kinsoku/>
              <w:overflowPunct/>
              <w:topLinePunct w:val="0"/>
              <w:bidi w:val="0"/>
              <w:spacing w:line="320" w:lineRule="exact"/>
              <w:ind w:left="567" w:hanging="567"/>
              <w:jc w:val="both"/>
              <w:outlineLvl w:val="9"/>
              <w:rPr>
                <w:rFonts w:hAnsi="宋体"/>
                <w:color w:val="auto"/>
                <w:kern w:val="2"/>
                <w:sz w:val="21"/>
                <w:szCs w:val="21"/>
                <w:lang w:val="zh-CN"/>
              </w:rPr>
            </w:pPr>
            <w:r>
              <w:rPr>
                <w:rFonts w:hint="eastAsia" w:hAnsi="宋体"/>
                <w:color w:val="auto"/>
                <w:kern w:val="2"/>
                <w:sz w:val="21"/>
                <w:szCs w:val="21"/>
                <w:lang w:val="zh-CN"/>
              </w:rPr>
              <w:t>见第三篇用户需求书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7"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eastAsia" w:hAnsi="宋体" w:eastAsia="宋体"/>
                <w:color w:val="auto"/>
                <w:sz w:val="21"/>
                <w:szCs w:val="21"/>
                <w:lang w:eastAsia="zh-CN"/>
              </w:rPr>
            </w:pPr>
            <w:r>
              <w:rPr>
                <w:rFonts w:hint="eastAsia" w:hAnsi="宋体"/>
                <w:color w:val="auto"/>
                <w:sz w:val="21"/>
                <w:szCs w:val="21"/>
                <w:lang w:val="en-US" w:eastAsia="zh-CN"/>
              </w:rPr>
              <w:t>3</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sz w:val="21"/>
                <w:szCs w:val="21"/>
              </w:rPr>
              <w:t>踏勘现场</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color w:val="auto"/>
                <w:sz w:val="21"/>
                <w:szCs w:val="21"/>
              </w:rPr>
            </w:pPr>
            <w:r>
              <w:rPr>
                <w:rFonts w:hint="eastAsia"/>
                <w:color w:val="auto"/>
                <w:sz w:val="21"/>
                <w:szCs w:val="21"/>
              </w:rPr>
              <w:t>采购人不集中组织，由</w:t>
            </w:r>
            <w:r>
              <w:rPr>
                <w:rFonts w:hint="eastAsia"/>
                <w:color w:val="auto"/>
                <w:sz w:val="21"/>
                <w:szCs w:val="21"/>
                <w:lang w:eastAsia="zh-CN"/>
              </w:rPr>
              <w:t>响应供应商</w:t>
            </w:r>
            <w:r>
              <w:rPr>
                <w:rFonts w:hint="eastAsia"/>
                <w:color w:val="auto"/>
                <w:sz w:val="21"/>
                <w:szCs w:val="21"/>
              </w:rPr>
              <w:t>自行踏勘。</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ind w:left="125"/>
              <w:outlineLvl w:val="9"/>
              <w:rPr>
                <w:rFonts w:hint="eastAsia" w:hAnsi="宋体" w:eastAsia="宋体"/>
                <w:color w:val="auto"/>
                <w:sz w:val="21"/>
                <w:szCs w:val="21"/>
                <w:lang w:eastAsia="zh-CN"/>
              </w:rPr>
            </w:pPr>
            <w:r>
              <w:rPr>
                <w:rFonts w:hint="eastAsia" w:hAnsi="宋体"/>
                <w:color w:val="auto"/>
                <w:sz w:val="21"/>
                <w:szCs w:val="21"/>
                <w:lang w:val="en-US" w:eastAsia="zh-CN"/>
              </w:rPr>
              <w:t>4</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kern w:val="2"/>
                <w:sz w:val="21"/>
                <w:szCs w:val="21"/>
                <w:lang w:val="zh-CN"/>
              </w:rPr>
              <w:t>谈判文件的澄清</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sz w:val="21"/>
                <w:szCs w:val="21"/>
              </w:rPr>
              <w:t>1.采购人不统一组织答疑会</w:t>
            </w:r>
          </w:p>
          <w:p>
            <w:pPr>
              <w:keepLines/>
              <w:kinsoku/>
              <w:overflowPunct/>
              <w:topLinePunct w:val="0"/>
              <w:bidi w:val="0"/>
              <w:spacing w:line="320" w:lineRule="exact"/>
              <w:outlineLvl w:val="9"/>
              <w:rPr>
                <w:rFonts w:hAnsi="宋体"/>
                <w:color w:val="auto"/>
                <w:sz w:val="21"/>
                <w:szCs w:val="21"/>
              </w:rPr>
            </w:pPr>
            <w:r>
              <w:rPr>
                <w:rFonts w:hAnsi="宋体"/>
                <w:color w:val="auto"/>
                <w:sz w:val="21"/>
                <w:szCs w:val="21"/>
              </w:rPr>
              <w:t>2</w:t>
            </w:r>
            <w:r>
              <w:rPr>
                <w:rFonts w:hint="eastAsia" w:hAnsi="宋体"/>
                <w:color w:val="auto"/>
                <w:sz w:val="21"/>
                <w:szCs w:val="21"/>
              </w:rPr>
              <w:t>.采购人澄清、修补或答疑期限：在报价截止日期前</w:t>
            </w:r>
            <w:r>
              <w:rPr>
                <w:rFonts w:hint="eastAsia" w:hAnsi="宋体"/>
                <w:color w:val="auto"/>
                <w:sz w:val="21"/>
                <w:szCs w:val="21"/>
                <w:u w:val="single"/>
              </w:rPr>
              <w:t xml:space="preserve"> 3 </w:t>
            </w:r>
            <w:r>
              <w:rPr>
                <w:rFonts w:hint="eastAsia" w:hAnsi="宋体"/>
                <w:color w:val="auto"/>
                <w:sz w:val="21"/>
                <w:szCs w:val="21"/>
              </w:rPr>
              <w:t>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eastAsia" w:hAnsi="宋体" w:eastAsia="宋体"/>
                <w:color w:val="auto"/>
                <w:sz w:val="21"/>
                <w:szCs w:val="21"/>
                <w:lang w:eastAsia="zh-CN"/>
              </w:rPr>
            </w:pPr>
            <w:r>
              <w:rPr>
                <w:rFonts w:hint="eastAsia" w:hAnsi="宋体"/>
                <w:color w:val="auto"/>
                <w:sz w:val="21"/>
                <w:szCs w:val="21"/>
                <w:lang w:val="en-US" w:eastAsia="zh-CN"/>
              </w:rPr>
              <w:t>5</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int="eastAsia" w:hAnsi="宋体" w:eastAsia="宋体"/>
                <w:color w:val="auto"/>
                <w:sz w:val="21"/>
                <w:szCs w:val="21"/>
                <w:lang w:eastAsia="zh-CN"/>
              </w:rPr>
            </w:pPr>
            <w:r>
              <w:rPr>
                <w:rFonts w:hint="eastAsia" w:hAnsi="宋体"/>
                <w:color w:val="auto"/>
                <w:sz w:val="21"/>
                <w:szCs w:val="21"/>
                <w:lang w:eastAsia="zh-CN"/>
              </w:rPr>
              <w:t>响应文件</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adjustRightInd/>
              <w:spacing w:line="320" w:lineRule="exact"/>
              <w:ind w:left="210" w:hanging="206" w:hangingChars="100"/>
              <w:jc w:val="both"/>
              <w:outlineLvl w:val="9"/>
              <w:rPr>
                <w:rFonts w:hAnsi="宋体"/>
                <w:color w:val="auto"/>
                <w:sz w:val="21"/>
                <w:szCs w:val="21"/>
              </w:rPr>
            </w:pPr>
            <w:r>
              <w:rPr>
                <w:rFonts w:hint="eastAsia" w:hAnsi="宋体"/>
                <w:color w:val="auto"/>
                <w:sz w:val="21"/>
                <w:szCs w:val="21"/>
              </w:rPr>
              <w:t>1.</w:t>
            </w:r>
            <w:r>
              <w:rPr>
                <w:rFonts w:hint="eastAsia" w:hAnsi="宋体"/>
                <w:color w:val="auto"/>
                <w:sz w:val="21"/>
                <w:szCs w:val="21"/>
                <w:lang w:eastAsia="zh-CN"/>
              </w:rPr>
              <w:t>响应文件</w:t>
            </w:r>
            <w:r>
              <w:rPr>
                <w:rFonts w:hint="eastAsia" w:hAnsi="宋体"/>
                <w:color w:val="auto"/>
                <w:sz w:val="21"/>
                <w:szCs w:val="21"/>
              </w:rPr>
              <w:t>由自查表、商务技术文件、经济文件</w:t>
            </w:r>
            <w:r>
              <w:rPr>
                <w:rFonts w:hint="eastAsia" w:hAnsi="宋体"/>
                <w:color w:val="auto"/>
                <w:kern w:val="2"/>
                <w:sz w:val="21"/>
                <w:szCs w:val="21"/>
                <w:lang w:val="zh-CN"/>
              </w:rPr>
              <w:t>三部分</w:t>
            </w:r>
            <w:r>
              <w:rPr>
                <w:rFonts w:hint="eastAsia" w:hAnsi="宋体"/>
                <w:color w:val="auto"/>
                <w:sz w:val="21"/>
                <w:szCs w:val="21"/>
              </w:rPr>
              <w:t>组成，合编成一本</w:t>
            </w:r>
            <w:r>
              <w:rPr>
                <w:rFonts w:hint="eastAsia" w:hAnsi="宋体"/>
                <w:color w:val="auto"/>
                <w:sz w:val="21"/>
                <w:szCs w:val="21"/>
                <w:lang w:eastAsia="zh-CN"/>
              </w:rPr>
              <w:t>响应文件</w:t>
            </w:r>
            <w:r>
              <w:rPr>
                <w:rFonts w:hint="eastAsia" w:hAnsi="宋体"/>
                <w:color w:val="auto"/>
                <w:sz w:val="21"/>
                <w:szCs w:val="21"/>
              </w:rPr>
              <w:t>。</w:t>
            </w:r>
            <w:r>
              <w:rPr>
                <w:rFonts w:hint="eastAsia" w:hAnsi="宋体"/>
                <w:color w:val="auto"/>
                <w:sz w:val="21"/>
                <w:szCs w:val="21"/>
                <w:lang w:eastAsia="zh-CN"/>
              </w:rPr>
              <w:t>响应文件</w:t>
            </w:r>
            <w:r>
              <w:rPr>
                <w:rFonts w:hint="eastAsia" w:hAnsi="宋体"/>
                <w:color w:val="auto"/>
                <w:sz w:val="21"/>
                <w:szCs w:val="21"/>
              </w:rPr>
              <w:t>一式</w:t>
            </w:r>
            <w:r>
              <w:rPr>
                <w:rFonts w:hint="eastAsia" w:hAnsi="宋体"/>
                <w:color w:val="auto"/>
                <w:sz w:val="21"/>
                <w:szCs w:val="21"/>
                <w:lang w:val="en-US" w:eastAsia="zh-CN"/>
              </w:rPr>
              <w:t>六</w:t>
            </w:r>
            <w:r>
              <w:rPr>
                <w:rFonts w:hint="eastAsia" w:hAnsi="宋体"/>
                <w:color w:val="auto"/>
                <w:sz w:val="21"/>
                <w:szCs w:val="21"/>
              </w:rPr>
              <w:t>份，其中，一份正本，</w:t>
            </w:r>
            <w:r>
              <w:rPr>
                <w:rFonts w:hint="eastAsia" w:hAnsi="宋体"/>
                <w:color w:val="auto"/>
                <w:sz w:val="21"/>
                <w:szCs w:val="21"/>
                <w:lang w:val="en-US" w:eastAsia="zh-CN"/>
              </w:rPr>
              <w:t>五</w:t>
            </w:r>
            <w:r>
              <w:rPr>
                <w:rFonts w:hint="eastAsia" w:hAnsi="宋体"/>
                <w:color w:val="auto"/>
                <w:sz w:val="21"/>
                <w:szCs w:val="21"/>
              </w:rPr>
              <w:t>份副本；</w:t>
            </w:r>
          </w:p>
          <w:p>
            <w:pPr>
              <w:keepLines/>
              <w:kinsoku/>
              <w:overflowPunct/>
              <w:topLinePunct w:val="0"/>
              <w:bidi w:val="0"/>
              <w:adjustRightInd/>
              <w:spacing w:line="320" w:lineRule="exact"/>
              <w:jc w:val="both"/>
              <w:outlineLvl w:val="9"/>
              <w:rPr>
                <w:rFonts w:hAnsi="宋体"/>
                <w:color w:val="auto"/>
                <w:sz w:val="21"/>
                <w:szCs w:val="21"/>
              </w:rPr>
            </w:pPr>
            <w:r>
              <w:rPr>
                <w:rFonts w:hint="eastAsia" w:hAnsi="宋体"/>
                <w:color w:val="auto"/>
                <w:sz w:val="21"/>
                <w:szCs w:val="21"/>
              </w:rPr>
              <w:t>2.唱标信封一份；</w:t>
            </w:r>
          </w:p>
          <w:p>
            <w:pPr>
              <w:keepLines/>
              <w:kinsoku/>
              <w:overflowPunct/>
              <w:topLinePunct w:val="0"/>
              <w:bidi w:val="0"/>
              <w:adjustRightInd/>
              <w:spacing w:line="320" w:lineRule="exact"/>
              <w:jc w:val="both"/>
              <w:outlineLvl w:val="9"/>
              <w:rPr>
                <w:rFonts w:hAnsi="宋体"/>
                <w:color w:val="auto"/>
                <w:sz w:val="21"/>
                <w:szCs w:val="21"/>
              </w:rPr>
            </w:pPr>
            <w:r>
              <w:rPr>
                <w:rFonts w:hint="eastAsia" w:hAnsi="宋体"/>
                <w:color w:val="auto"/>
                <w:sz w:val="21"/>
                <w:szCs w:val="21"/>
              </w:rPr>
              <w:t>3.电子文件一份。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699" w:type="dxa"/>
            <w:vMerge w:val="restart"/>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eastAsia" w:hAnsi="宋体" w:eastAsia="宋体"/>
                <w:color w:val="auto"/>
                <w:sz w:val="21"/>
                <w:szCs w:val="21"/>
                <w:lang w:eastAsia="zh-CN"/>
              </w:rPr>
            </w:pPr>
            <w:r>
              <w:rPr>
                <w:rFonts w:hint="eastAsia" w:hAnsi="宋体"/>
                <w:color w:val="auto"/>
                <w:sz w:val="21"/>
                <w:szCs w:val="21"/>
                <w:lang w:val="en-US" w:eastAsia="zh-CN"/>
              </w:rPr>
              <w:t>6</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sz w:val="21"/>
                <w:szCs w:val="21"/>
              </w:rPr>
              <w:t>报价</w:t>
            </w:r>
          </w:p>
        </w:tc>
        <w:tc>
          <w:tcPr>
            <w:tcW w:w="7126" w:type="dxa"/>
            <w:tcBorders>
              <w:top w:val="single" w:color="auto" w:sz="4" w:space="0"/>
              <w:left w:val="single" w:color="auto" w:sz="4" w:space="0"/>
              <w:bottom w:val="single" w:color="auto" w:sz="4" w:space="0"/>
              <w:right w:val="double" w:color="auto" w:sz="4" w:space="0"/>
            </w:tcBorders>
            <w:vAlign w:val="center"/>
          </w:tcPr>
          <w:p>
            <w:pPr>
              <w:kinsoku/>
              <w:overflowPunct/>
              <w:topLinePunct w:val="0"/>
              <w:bidi w:val="0"/>
              <w:spacing w:line="320" w:lineRule="exact"/>
              <w:outlineLvl w:val="9"/>
              <w:rPr>
                <w:rFonts w:hint="eastAsia" w:hAnsi="宋体" w:eastAsia="宋体"/>
                <w:color w:val="auto"/>
                <w:sz w:val="21"/>
                <w:szCs w:val="21"/>
                <w:lang w:val="zh-CN" w:eastAsia="zh-CN"/>
              </w:rPr>
            </w:pPr>
            <w:r>
              <w:rPr>
                <w:rFonts w:hint="eastAsia" w:hAnsi="宋体"/>
                <w:color w:val="auto"/>
                <w:sz w:val="21"/>
                <w:szCs w:val="21"/>
              </w:rPr>
              <w:t>本采购项目最高报价限价为：</w:t>
            </w:r>
            <w:r>
              <w:rPr>
                <w:rFonts w:hint="eastAsia" w:hAnsi="宋体"/>
                <w:color w:val="auto"/>
                <w:sz w:val="21"/>
                <w:szCs w:val="21"/>
                <w:lang w:val="en-US" w:eastAsia="zh-CN"/>
              </w:rPr>
              <w:t>30</w:t>
            </w:r>
            <w:r>
              <w:rPr>
                <w:rFonts w:hint="eastAsia" w:hAnsi="宋体"/>
                <w:color w:val="auto"/>
                <w:sz w:val="21"/>
                <w:szCs w:val="21"/>
              </w:rPr>
              <w:t>万元</w:t>
            </w:r>
            <w:r>
              <w:rPr>
                <w:rFonts w:hint="eastAsia" w:hAnsi="宋体"/>
                <w:color w:val="auto"/>
                <w:sz w:val="21"/>
                <w:szCs w:val="21"/>
                <w:lang w:eastAsia="zh-CN"/>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699" w:type="dxa"/>
            <w:vMerge w:val="continue"/>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Ansi="宋体"/>
                <w:color w:val="auto"/>
                <w:sz w:val="21"/>
                <w:szCs w:val="21"/>
              </w:rPr>
            </w:pP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bCs/>
                <w:color w:val="auto"/>
                <w:sz w:val="21"/>
                <w:szCs w:val="21"/>
                <w:lang w:val="zh-CN"/>
              </w:rPr>
              <w:t>报价其他文件</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adjustRightInd/>
              <w:spacing w:line="320" w:lineRule="exact"/>
              <w:jc w:val="both"/>
              <w:outlineLvl w:val="9"/>
              <w:rPr>
                <w:rFonts w:hAnsi="宋体"/>
                <w:color w:val="auto"/>
                <w:sz w:val="21"/>
                <w:szCs w:val="21"/>
              </w:rPr>
            </w:pPr>
            <w:r>
              <w:rPr>
                <w:rFonts w:hint="eastAsia" w:hAnsi="宋体"/>
                <w:color w:val="auto"/>
                <w:sz w:val="21"/>
                <w:szCs w:val="21"/>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eastAsia" w:hAnsi="宋体" w:eastAsia="宋体"/>
                <w:color w:val="auto"/>
                <w:sz w:val="21"/>
                <w:szCs w:val="21"/>
                <w:lang w:eastAsia="zh-CN"/>
              </w:rPr>
            </w:pPr>
            <w:r>
              <w:rPr>
                <w:rFonts w:hint="eastAsia" w:hAnsi="宋体"/>
                <w:color w:val="auto"/>
                <w:kern w:val="2"/>
                <w:sz w:val="21"/>
                <w:szCs w:val="21"/>
                <w:lang w:val="en-US" w:eastAsia="zh-CN"/>
              </w:rPr>
              <w:t>7</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kern w:val="2"/>
                <w:sz w:val="21"/>
                <w:szCs w:val="21"/>
                <w:lang w:val="zh-CN"/>
              </w:rPr>
              <w:t>证明响应供应商的合格性的证明文件</w:t>
            </w:r>
          </w:p>
        </w:tc>
        <w:tc>
          <w:tcPr>
            <w:tcW w:w="7126" w:type="dxa"/>
            <w:tcBorders>
              <w:top w:val="single" w:color="auto" w:sz="4" w:space="0"/>
              <w:left w:val="single" w:color="auto" w:sz="4" w:space="0"/>
              <w:bottom w:val="single" w:color="auto" w:sz="4" w:space="0"/>
              <w:right w:val="double" w:color="auto" w:sz="4" w:space="0"/>
            </w:tcBorders>
            <w:vAlign w:val="center"/>
          </w:tcPr>
          <w:p>
            <w:pPr>
              <w:kinsoku/>
              <w:overflowPunct/>
              <w:topLinePunct w:val="0"/>
              <w:bidi w:val="0"/>
              <w:spacing w:line="320" w:lineRule="exact"/>
              <w:outlineLvl w:val="9"/>
              <w:rPr>
                <w:rFonts w:hAnsi="宋体"/>
                <w:color w:val="auto"/>
                <w:sz w:val="21"/>
                <w:szCs w:val="21"/>
              </w:rPr>
            </w:pPr>
            <w:r>
              <w:rPr>
                <w:rFonts w:hint="eastAsia" w:hAnsi="宋体"/>
                <w:bCs/>
                <w:color w:val="auto"/>
                <w:sz w:val="21"/>
                <w:szCs w:val="21"/>
              </w:rPr>
              <w:t>根据</w:t>
            </w:r>
            <w:r>
              <w:rPr>
                <w:rFonts w:hint="eastAsia" w:hAnsi="宋体"/>
                <w:bCs/>
                <w:color w:val="auto"/>
                <w:sz w:val="21"/>
                <w:szCs w:val="21"/>
                <w:lang w:eastAsia="zh-CN"/>
              </w:rPr>
              <w:t>响应文件</w:t>
            </w:r>
            <w:r>
              <w:rPr>
                <w:rFonts w:hint="eastAsia" w:hAnsi="宋体"/>
                <w:bCs/>
                <w:color w:val="auto"/>
                <w:sz w:val="21"/>
                <w:szCs w:val="21"/>
              </w:rPr>
              <w:t>第一篇</w:t>
            </w:r>
            <w:r>
              <w:rPr>
                <w:rFonts w:hint="eastAsia" w:hAnsi="宋体"/>
                <w:bCs/>
                <w:color w:val="auto"/>
                <w:sz w:val="21"/>
                <w:szCs w:val="21"/>
                <w:lang w:eastAsia="zh-CN"/>
              </w:rPr>
              <w:t>谈判邀请</w:t>
            </w:r>
            <w:r>
              <w:rPr>
                <w:rFonts w:hint="eastAsia" w:hAnsi="宋体"/>
                <w:bCs/>
                <w:color w:val="auto"/>
                <w:sz w:val="21"/>
                <w:szCs w:val="21"/>
              </w:rPr>
              <w:t>书第</w:t>
            </w:r>
            <w:r>
              <w:rPr>
                <w:rFonts w:hint="eastAsia" w:hAnsi="宋体"/>
                <w:bCs/>
                <w:color w:val="auto"/>
                <w:sz w:val="21"/>
                <w:szCs w:val="21"/>
                <w:lang w:eastAsia="zh-CN"/>
              </w:rPr>
              <w:t>二</w:t>
            </w:r>
            <w:r>
              <w:rPr>
                <w:rFonts w:hint="eastAsia" w:hAnsi="宋体"/>
                <w:bCs/>
                <w:color w:val="auto"/>
                <w:sz w:val="21"/>
                <w:szCs w:val="21"/>
              </w:rPr>
              <w:t>点要求提供。</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eastAsia" w:hAnsi="宋体" w:eastAsia="宋体"/>
                <w:color w:val="auto"/>
                <w:sz w:val="21"/>
                <w:szCs w:val="21"/>
                <w:lang w:eastAsia="zh-CN"/>
              </w:rPr>
            </w:pPr>
            <w:r>
              <w:rPr>
                <w:rFonts w:hint="eastAsia" w:hAnsi="宋体"/>
                <w:color w:val="auto"/>
                <w:sz w:val="21"/>
                <w:szCs w:val="21"/>
                <w:lang w:val="en-US" w:eastAsia="zh-CN"/>
              </w:rPr>
              <w:t>8</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int="eastAsia" w:hAnsi="宋体" w:eastAsia="宋体"/>
                <w:color w:val="auto"/>
                <w:sz w:val="21"/>
                <w:szCs w:val="21"/>
                <w:lang w:eastAsia="zh-CN"/>
              </w:rPr>
            </w:pPr>
            <w:r>
              <w:rPr>
                <w:rFonts w:hint="eastAsia" w:hAnsi="宋体"/>
                <w:color w:val="auto"/>
                <w:sz w:val="21"/>
                <w:szCs w:val="21"/>
                <w:lang w:eastAsia="zh-CN"/>
              </w:rPr>
              <w:t>响应保证金</w:t>
            </w:r>
          </w:p>
        </w:tc>
        <w:tc>
          <w:tcPr>
            <w:tcW w:w="7126" w:type="dxa"/>
            <w:tcBorders>
              <w:top w:val="single" w:color="auto" w:sz="4" w:space="0"/>
              <w:left w:val="single" w:color="auto" w:sz="4" w:space="0"/>
              <w:bottom w:val="single" w:color="auto" w:sz="4" w:space="0"/>
              <w:right w:val="double" w:color="auto" w:sz="4" w:space="0"/>
            </w:tcBorders>
            <w:vAlign w:val="center"/>
          </w:tcPr>
          <w:p>
            <w:pPr>
              <w:kinsoku/>
              <w:overflowPunct/>
              <w:topLinePunct w:val="0"/>
              <w:bidi w:val="0"/>
              <w:adjustRightInd/>
              <w:spacing w:line="320" w:lineRule="exact"/>
              <w:jc w:val="both"/>
              <w:outlineLvl w:val="9"/>
              <w:rPr>
                <w:rFonts w:hAnsi="宋体"/>
                <w:bCs/>
                <w:color w:val="auto"/>
                <w:sz w:val="21"/>
                <w:szCs w:val="21"/>
                <w:lang w:val="zh-CN"/>
              </w:rPr>
            </w:pPr>
            <w:r>
              <w:rPr>
                <w:rFonts w:hint="eastAsia" w:hAnsi="宋体"/>
                <w:bCs/>
                <w:color w:val="auto"/>
                <w:sz w:val="21"/>
                <w:szCs w:val="21"/>
              </w:rPr>
              <w:t>本项目不</w:t>
            </w:r>
            <w:r>
              <w:rPr>
                <w:rFonts w:hint="eastAsia" w:hAnsi="宋体"/>
                <w:bCs/>
                <w:color w:val="auto"/>
                <w:sz w:val="21"/>
                <w:szCs w:val="21"/>
                <w:lang w:eastAsia="zh-CN"/>
              </w:rPr>
              <w:t>收取响应保证金</w:t>
            </w:r>
            <w:r>
              <w:rPr>
                <w:rFonts w:hint="eastAsia" w:hAnsi="宋体"/>
                <w:bCs/>
                <w:color w:val="auto"/>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eastAsia" w:hAnsi="宋体" w:eastAsia="宋体"/>
                <w:color w:val="auto"/>
                <w:sz w:val="21"/>
                <w:szCs w:val="21"/>
                <w:lang w:eastAsia="zh-CN"/>
              </w:rPr>
            </w:pPr>
            <w:r>
              <w:rPr>
                <w:rFonts w:hint="eastAsia" w:hAnsi="宋体"/>
                <w:color w:val="auto"/>
                <w:sz w:val="21"/>
                <w:szCs w:val="21"/>
                <w:lang w:val="en-US" w:eastAsia="zh-CN"/>
              </w:rPr>
              <w:t>9</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kern w:val="2"/>
                <w:sz w:val="21"/>
                <w:szCs w:val="21"/>
                <w:lang w:val="zh-CN"/>
              </w:rPr>
              <w:t>响应有效期</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adjustRightInd/>
              <w:spacing w:line="320" w:lineRule="exact"/>
              <w:jc w:val="both"/>
              <w:outlineLvl w:val="9"/>
              <w:rPr>
                <w:rFonts w:hAnsi="宋体"/>
                <w:bCs/>
                <w:color w:val="auto"/>
                <w:sz w:val="21"/>
                <w:szCs w:val="21"/>
              </w:rPr>
            </w:pPr>
            <w:r>
              <w:rPr>
                <w:rFonts w:hint="eastAsia" w:hAnsi="宋体"/>
                <w:bCs/>
                <w:color w:val="auto"/>
                <w:kern w:val="2"/>
                <w:sz w:val="21"/>
                <w:szCs w:val="21"/>
                <w:lang w:val="zh-CN"/>
              </w:rPr>
              <w:t>递交响应文件截止日后</w:t>
            </w:r>
            <w:r>
              <w:rPr>
                <w:rFonts w:hAnsi="宋体"/>
                <w:bCs/>
                <w:color w:val="auto"/>
                <w:kern w:val="2"/>
                <w:sz w:val="21"/>
                <w:szCs w:val="21"/>
                <w:lang w:val="zh-CN"/>
              </w:rPr>
              <w:t>90</w:t>
            </w:r>
            <w:r>
              <w:rPr>
                <w:rFonts w:hint="eastAsia" w:hAnsi="宋体"/>
                <w:bCs/>
                <w:color w:val="auto"/>
                <w:kern w:val="2"/>
                <w:sz w:val="21"/>
                <w:szCs w:val="21"/>
                <w:lang w:val="zh-CN"/>
              </w:rPr>
              <w:t>天内有效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lang w:val="en-US" w:eastAsia="zh-CN"/>
              </w:rPr>
            </w:pPr>
            <w:r>
              <w:rPr>
                <w:rFonts w:hint="eastAsia" w:hAnsi="宋体"/>
                <w:color w:val="auto"/>
                <w:sz w:val="21"/>
                <w:szCs w:val="21"/>
                <w:lang w:val="en-US" w:eastAsia="zh-CN"/>
              </w:rPr>
              <w:t>10</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kern w:val="2"/>
                <w:sz w:val="21"/>
                <w:szCs w:val="21"/>
                <w:lang w:val="zh-CN"/>
              </w:rPr>
            </w:pPr>
            <w:r>
              <w:rPr>
                <w:rFonts w:hint="eastAsia" w:hAnsi="宋体"/>
                <w:color w:val="auto"/>
                <w:kern w:val="2"/>
                <w:sz w:val="21"/>
                <w:szCs w:val="21"/>
                <w:lang w:val="zh-CN"/>
              </w:rPr>
              <w:t>响应文件份数</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adjustRightInd/>
              <w:spacing w:line="320" w:lineRule="exact"/>
              <w:jc w:val="both"/>
              <w:outlineLvl w:val="9"/>
              <w:rPr>
                <w:rFonts w:hAnsi="宋体"/>
                <w:color w:val="auto"/>
                <w:sz w:val="21"/>
                <w:szCs w:val="21"/>
              </w:rPr>
            </w:pPr>
            <w:r>
              <w:rPr>
                <w:rFonts w:hint="eastAsia" w:hAnsi="宋体"/>
                <w:color w:val="auto"/>
                <w:sz w:val="21"/>
                <w:szCs w:val="21"/>
                <w:lang w:eastAsia="zh-CN"/>
              </w:rPr>
              <w:t>响应文件</w:t>
            </w:r>
            <w:r>
              <w:rPr>
                <w:rFonts w:hint="eastAsia" w:hAnsi="宋体"/>
                <w:color w:val="auto"/>
                <w:sz w:val="21"/>
                <w:szCs w:val="21"/>
              </w:rPr>
              <w:t>密封包封为1包（内含</w:t>
            </w:r>
            <w:r>
              <w:rPr>
                <w:rFonts w:hint="eastAsia" w:hAnsi="宋体"/>
                <w:color w:val="auto"/>
                <w:sz w:val="21"/>
                <w:szCs w:val="21"/>
                <w:lang w:eastAsia="zh-CN"/>
              </w:rPr>
              <w:t>响应文件</w:t>
            </w:r>
            <w:r>
              <w:rPr>
                <w:rFonts w:hint="eastAsia" w:hAnsi="宋体"/>
                <w:color w:val="auto"/>
                <w:sz w:val="21"/>
                <w:szCs w:val="21"/>
              </w:rPr>
              <w:t>正本</w:t>
            </w:r>
            <w:r>
              <w:rPr>
                <w:rFonts w:hint="eastAsia" w:hAnsi="宋体"/>
                <w:color w:val="auto"/>
                <w:sz w:val="21"/>
                <w:szCs w:val="21"/>
                <w:u w:val="single"/>
              </w:rPr>
              <w:t>1</w:t>
            </w:r>
            <w:r>
              <w:rPr>
                <w:rFonts w:hint="eastAsia" w:hAnsi="宋体"/>
                <w:color w:val="auto"/>
                <w:sz w:val="21"/>
                <w:szCs w:val="21"/>
              </w:rPr>
              <w:t>份，副本</w:t>
            </w:r>
            <w:r>
              <w:rPr>
                <w:rFonts w:hint="eastAsia" w:hAnsi="宋体"/>
                <w:color w:val="auto"/>
                <w:sz w:val="21"/>
                <w:szCs w:val="21"/>
                <w:lang w:val="en-US" w:eastAsia="zh-CN"/>
              </w:rPr>
              <w:t>5</w:t>
            </w:r>
            <w:r>
              <w:rPr>
                <w:rFonts w:hint="eastAsia" w:hAnsi="宋体"/>
                <w:color w:val="auto"/>
                <w:sz w:val="21"/>
                <w:szCs w:val="21"/>
              </w:rPr>
              <w:t>份）</w:t>
            </w:r>
          </w:p>
          <w:p>
            <w:pPr>
              <w:keepLines/>
              <w:kinsoku/>
              <w:overflowPunct/>
              <w:topLinePunct w:val="0"/>
              <w:bidi w:val="0"/>
              <w:adjustRightInd/>
              <w:spacing w:line="320" w:lineRule="exact"/>
              <w:jc w:val="both"/>
              <w:outlineLvl w:val="9"/>
              <w:rPr>
                <w:rFonts w:hAnsi="宋体"/>
                <w:bCs/>
                <w:color w:val="auto"/>
                <w:kern w:val="2"/>
                <w:sz w:val="21"/>
                <w:szCs w:val="21"/>
                <w:lang w:val="zh-CN"/>
              </w:rPr>
            </w:pPr>
            <w:r>
              <w:rPr>
                <w:rFonts w:hint="eastAsia" w:hAnsi="宋体"/>
                <w:color w:val="auto"/>
                <w:sz w:val="21"/>
                <w:szCs w:val="21"/>
              </w:rPr>
              <w:t>唱标信封密封包封为1包（内含唱标信封</w:t>
            </w:r>
            <w:r>
              <w:rPr>
                <w:rFonts w:hint="eastAsia" w:hAnsi="宋体"/>
                <w:color w:val="auto"/>
                <w:sz w:val="21"/>
                <w:szCs w:val="21"/>
                <w:u w:val="single"/>
              </w:rPr>
              <w:t>1</w:t>
            </w:r>
            <w:r>
              <w:rPr>
                <w:rFonts w:hint="eastAsia" w:hAnsi="宋体"/>
                <w:color w:val="auto"/>
                <w:sz w:val="21"/>
                <w:szCs w:val="21"/>
              </w:rPr>
              <w:t>份，</w:t>
            </w:r>
            <w:r>
              <w:rPr>
                <w:rFonts w:hint="eastAsia" w:hAnsi="宋体"/>
                <w:color w:val="auto"/>
                <w:sz w:val="21"/>
                <w:szCs w:val="21"/>
                <w:lang w:eastAsia="zh-CN"/>
              </w:rPr>
              <w:t>响应文件</w:t>
            </w:r>
            <w:r>
              <w:rPr>
                <w:rFonts w:hint="eastAsia" w:hAnsi="宋体"/>
                <w:color w:val="auto"/>
                <w:sz w:val="21"/>
                <w:szCs w:val="21"/>
              </w:rPr>
              <w:t>电子文件</w:t>
            </w:r>
            <w:r>
              <w:rPr>
                <w:rFonts w:hint="eastAsia" w:hAnsi="宋体"/>
                <w:color w:val="auto"/>
                <w:sz w:val="21"/>
                <w:szCs w:val="21"/>
                <w:u w:val="single"/>
              </w:rPr>
              <w:t>1</w:t>
            </w:r>
            <w:r>
              <w:rPr>
                <w:rFonts w:hint="eastAsia" w:hAnsi="宋体"/>
                <w:color w:val="auto"/>
                <w:sz w:val="21"/>
                <w:szCs w:val="21"/>
              </w:rPr>
              <w:t>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lang w:val="en-US" w:eastAsia="zh-CN"/>
              </w:rPr>
            </w:pPr>
            <w:r>
              <w:rPr>
                <w:rFonts w:hint="eastAsia" w:hAnsi="宋体"/>
                <w:color w:val="auto"/>
                <w:sz w:val="21"/>
                <w:szCs w:val="21"/>
                <w:lang w:val="en-US" w:eastAsia="zh-CN"/>
              </w:rPr>
              <w:t>11</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kern w:val="2"/>
                <w:sz w:val="21"/>
                <w:szCs w:val="21"/>
                <w:lang w:val="zh-CN"/>
              </w:rPr>
            </w:pPr>
            <w:r>
              <w:rPr>
                <w:rFonts w:hint="eastAsia" w:hAnsi="宋体"/>
                <w:bCs/>
                <w:color w:val="auto"/>
                <w:sz w:val="21"/>
                <w:szCs w:val="21"/>
                <w:lang w:eastAsia="zh-CN"/>
              </w:rPr>
              <w:t>响应文件</w:t>
            </w:r>
            <w:r>
              <w:rPr>
                <w:rFonts w:hint="eastAsia" w:hAnsi="宋体"/>
                <w:bCs/>
                <w:color w:val="auto"/>
                <w:sz w:val="21"/>
                <w:szCs w:val="21"/>
              </w:rPr>
              <w:t>的递交、接收</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adjustRightInd/>
              <w:spacing w:line="320" w:lineRule="exact"/>
              <w:jc w:val="both"/>
              <w:outlineLvl w:val="9"/>
              <w:rPr>
                <w:rFonts w:hAnsi="宋体"/>
                <w:color w:val="auto"/>
                <w:sz w:val="21"/>
                <w:szCs w:val="21"/>
              </w:rPr>
            </w:pPr>
            <w:r>
              <w:rPr>
                <w:rFonts w:hint="eastAsia" w:hAnsi="宋体"/>
                <w:color w:val="auto"/>
                <w:sz w:val="21"/>
                <w:szCs w:val="21"/>
              </w:rPr>
              <w:t>详见</w:t>
            </w:r>
            <w:r>
              <w:rPr>
                <w:rFonts w:hint="eastAsia" w:hAnsi="宋体"/>
                <w:color w:val="auto"/>
                <w:sz w:val="21"/>
                <w:szCs w:val="21"/>
                <w:lang w:eastAsia="zh-CN"/>
              </w:rPr>
              <w:t>谈判邀请</w:t>
            </w:r>
            <w:r>
              <w:rPr>
                <w:rFonts w:hint="eastAsia" w:hAnsi="宋体"/>
                <w:color w:val="auto"/>
                <w:sz w:val="21"/>
                <w:szCs w:val="21"/>
              </w:rPr>
              <w:t>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12</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bCs/>
                <w:color w:val="auto"/>
                <w:sz w:val="21"/>
                <w:szCs w:val="21"/>
                <w:highlight w:val="none"/>
              </w:rPr>
            </w:pPr>
            <w:r>
              <w:rPr>
                <w:rFonts w:hint="eastAsia" w:hAnsi="宋体"/>
                <w:bCs/>
                <w:color w:val="auto"/>
                <w:sz w:val="21"/>
                <w:szCs w:val="21"/>
                <w:highlight w:val="none"/>
              </w:rPr>
              <w:t>谈判小组</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color w:val="auto"/>
                <w:sz w:val="21"/>
                <w:szCs w:val="21"/>
                <w:highlight w:val="none"/>
              </w:rPr>
            </w:pPr>
            <w:r>
              <w:rPr>
                <w:rFonts w:hint="eastAsia" w:hAnsi="宋体"/>
                <w:color w:val="auto"/>
                <w:sz w:val="21"/>
                <w:szCs w:val="21"/>
                <w:highlight w:val="none"/>
              </w:rPr>
              <w:t>谈判小组成员共</w:t>
            </w:r>
            <w:r>
              <w:rPr>
                <w:rFonts w:hint="eastAsia" w:hAnsi="宋体"/>
                <w:color w:val="auto"/>
                <w:sz w:val="21"/>
                <w:szCs w:val="21"/>
                <w:highlight w:val="none"/>
                <w:u w:val="single"/>
                <w:lang w:val="en-US" w:eastAsia="zh-CN"/>
              </w:rPr>
              <w:t>5</w:t>
            </w:r>
            <w:r>
              <w:rPr>
                <w:rFonts w:hint="eastAsia" w:hAnsi="宋体"/>
                <w:color w:val="auto"/>
                <w:sz w:val="21"/>
                <w:szCs w:val="21"/>
                <w:highlight w:val="none"/>
              </w:rPr>
              <w:t>人</w:t>
            </w:r>
            <w:r>
              <w:rPr>
                <w:rFonts w:hint="eastAsia" w:hAnsi="宋体"/>
                <w:color w:val="auto"/>
                <w:sz w:val="21"/>
                <w:szCs w:val="21"/>
                <w:highlight w:val="none"/>
                <w:lang w:eastAsia="zh-CN"/>
              </w:rPr>
              <w:t>，</w:t>
            </w:r>
            <w:r>
              <w:rPr>
                <w:rFonts w:hint="eastAsia" w:hAnsi="宋体"/>
                <w:color w:val="auto"/>
                <w:kern w:val="2"/>
                <w:sz w:val="21"/>
                <w:szCs w:val="21"/>
                <w:highlight w:val="none"/>
                <w:lang w:val="zh-CN"/>
              </w:rPr>
              <w:t>由</w:t>
            </w:r>
            <w:r>
              <w:rPr>
                <w:rFonts w:hint="eastAsia" w:hAnsi="宋体"/>
                <w:color w:val="auto"/>
                <w:sz w:val="21"/>
                <w:szCs w:val="21"/>
                <w:highlight w:val="none"/>
              </w:rPr>
              <w:t>采购</w:t>
            </w:r>
            <w:r>
              <w:rPr>
                <w:rFonts w:hint="eastAsia" w:hAnsi="宋体"/>
                <w:color w:val="auto"/>
                <w:sz w:val="21"/>
                <w:szCs w:val="21"/>
                <w:highlight w:val="none"/>
                <w:lang w:eastAsia="zh-CN"/>
              </w:rPr>
              <w:t>人根据有关规定产生</w:t>
            </w:r>
            <w:r>
              <w:rPr>
                <w:rFonts w:hint="eastAsia" w:hAnsi="宋体"/>
                <w:color w:val="auto"/>
                <w:sz w:val="21"/>
                <w:szCs w:val="21"/>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lang w:val="en-US" w:eastAsia="zh-CN"/>
              </w:rPr>
            </w:pPr>
            <w:r>
              <w:rPr>
                <w:rFonts w:hint="eastAsia" w:hAnsi="宋体"/>
                <w:color w:val="auto"/>
                <w:sz w:val="21"/>
                <w:szCs w:val="21"/>
                <w:lang w:val="en-US" w:eastAsia="zh-CN"/>
              </w:rPr>
              <w:t>13</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bCs/>
                <w:color w:val="auto"/>
                <w:sz w:val="21"/>
                <w:szCs w:val="21"/>
              </w:rPr>
            </w:pPr>
            <w:r>
              <w:rPr>
                <w:rFonts w:hint="eastAsia" w:hAnsi="宋体"/>
                <w:bCs/>
                <w:color w:val="auto"/>
                <w:sz w:val="21"/>
                <w:szCs w:val="21"/>
              </w:rPr>
              <w:t>评审方法</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bCs/>
                <w:color w:val="auto"/>
                <w:sz w:val="21"/>
                <w:szCs w:val="21"/>
              </w:rPr>
            </w:pPr>
            <w:r>
              <w:rPr>
                <w:rFonts w:hint="eastAsia" w:hAnsi="宋体"/>
                <w:bCs/>
                <w:color w:val="auto"/>
                <w:sz w:val="21"/>
                <w:szCs w:val="21"/>
              </w:rPr>
              <w:t>本次评审采取经评审的最低评标价法的评审方法。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5"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lang w:val="en-US" w:eastAsia="zh-CN"/>
              </w:rPr>
            </w:pPr>
            <w:r>
              <w:rPr>
                <w:rFonts w:hint="eastAsia" w:hAnsi="宋体"/>
                <w:color w:val="auto"/>
                <w:sz w:val="21"/>
                <w:szCs w:val="21"/>
                <w:lang w:val="en-US" w:eastAsia="zh-CN"/>
              </w:rPr>
              <w:t>14</w:t>
            </w:r>
          </w:p>
        </w:tc>
        <w:tc>
          <w:tcPr>
            <w:tcW w:w="2116" w:type="dxa"/>
            <w:tcBorders>
              <w:top w:val="single" w:color="auto" w:sz="4" w:space="0"/>
              <w:left w:val="single" w:color="auto" w:sz="4" w:space="0"/>
              <w:bottom w:val="single" w:color="auto" w:sz="4" w:space="0"/>
              <w:right w:val="single" w:color="auto" w:sz="4" w:space="0"/>
            </w:tcBorders>
            <w:vAlign w:val="center"/>
          </w:tcPr>
          <w:p>
            <w:pPr>
              <w:kinsoku/>
              <w:overflowPunct/>
              <w:topLinePunct w:val="0"/>
              <w:bidi w:val="0"/>
              <w:spacing w:line="320" w:lineRule="exact"/>
              <w:outlineLvl w:val="9"/>
              <w:rPr>
                <w:rFonts w:hAnsi="宋体"/>
                <w:bCs/>
                <w:color w:val="auto"/>
                <w:sz w:val="21"/>
                <w:szCs w:val="21"/>
              </w:rPr>
            </w:pPr>
            <w:r>
              <w:rPr>
                <w:rFonts w:hint="eastAsia" w:hAnsi="宋体"/>
                <w:bCs/>
                <w:color w:val="auto"/>
                <w:sz w:val="21"/>
                <w:szCs w:val="21"/>
              </w:rPr>
              <w:t>信息发布媒体</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adjustRightInd/>
              <w:spacing w:line="320" w:lineRule="exact"/>
              <w:jc w:val="both"/>
              <w:outlineLvl w:val="9"/>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val="en-US" w:eastAsia="zh-CN"/>
              </w:rPr>
              <w:t>1.</w:t>
            </w:r>
            <w:r>
              <w:rPr>
                <w:rFonts w:hint="eastAsia" w:ascii="宋体" w:hAnsi="宋体" w:eastAsia="宋体" w:cs="Times New Roman"/>
                <w:color w:val="auto"/>
                <w:sz w:val="21"/>
                <w:szCs w:val="21"/>
                <w:lang w:eastAsia="zh-CN"/>
              </w:rPr>
              <w:t>南方医科大学第七附属医院（http://nyd7y.com）</w:t>
            </w:r>
          </w:p>
          <w:p>
            <w:pPr>
              <w:keepLines/>
              <w:kinsoku/>
              <w:overflowPunct/>
              <w:topLinePunct w:val="0"/>
              <w:bidi w:val="0"/>
              <w:adjustRightInd/>
              <w:spacing w:line="320" w:lineRule="exact"/>
              <w:jc w:val="both"/>
              <w:outlineLvl w:val="9"/>
              <w:rPr>
                <w:rFonts w:hAnsi="宋体"/>
                <w:bCs/>
                <w:color w:val="auto"/>
                <w:sz w:val="21"/>
                <w:szCs w:val="21"/>
              </w:rPr>
            </w:pPr>
            <w:r>
              <w:rPr>
                <w:rFonts w:hint="eastAsia" w:ascii="宋体" w:hAnsi="宋体" w:eastAsia="宋体" w:cs="Times New Roman"/>
                <w:color w:val="auto"/>
                <w:sz w:val="21"/>
                <w:szCs w:val="21"/>
                <w:lang w:val="en-US" w:eastAsia="zh-CN"/>
              </w:rPr>
              <w:t>2.</w:t>
            </w:r>
            <w:r>
              <w:rPr>
                <w:rFonts w:hint="eastAsia" w:ascii="宋体" w:hAnsi="宋体" w:eastAsia="宋体" w:cs="Times New Roman"/>
                <w:color w:val="auto"/>
                <w:sz w:val="21"/>
                <w:szCs w:val="21"/>
                <w:lang w:eastAsia="zh-CN"/>
              </w:rPr>
              <w:t>广东远东招标代理有限公司网站（</w:t>
            </w:r>
            <w:r>
              <w:rPr>
                <w:rFonts w:hint="eastAsia" w:ascii="宋体" w:hAnsi="宋体" w:eastAsia="宋体" w:cs="Times New Roman"/>
                <w:color w:val="auto"/>
                <w:sz w:val="21"/>
                <w:szCs w:val="21"/>
                <w:lang w:eastAsia="zh-CN"/>
              </w:rPr>
              <w:fldChar w:fldCharType="begin"/>
            </w:r>
            <w:r>
              <w:rPr>
                <w:rFonts w:hint="eastAsia" w:ascii="宋体" w:hAnsi="宋体" w:eastAsia="宋体" w:cs="Times New Roman"/>
                <w:color w:val="auto"/>
                <w:sz w:val="21"/>
                <w:szCs w:val="21"/>
                <w:lang w:eastAsia="zh-CN"/>
              </w:rPr>
              <w:instrText xml:space="preserve">HYPERLINK "http://www.cfet.com.cn/"</w:instrText>
            </w:r>
            <w:r>
              <w:rPr>
                <w:rFonts w:hint="eastAsia" w:ascii="宋体" w:hAnsi="宋体" w:eastAsia="宋体" w:cs="Times New Roman"/>
                <w:color w:val="auto"/>
                <w:sz w:val="21"/>
                <w:szCs w:val="21"/>
                <w:lang w:eastAsia="zh-CN"/>
              </w:rPr>
              <w:fldChar w:fldCharType="separate"/>
            </w:r>
            <w:r>
              <w:rPr>
                <w:rFonts w:hint="eastAsia" w:ascii="宋体" w:hAnsi="宋体" w:eastAsia="宋体" w:cs="Times New Roman"/>
                <w:color w:val="auto"/>
                <w:sz w:val="21"/>
                <w:szCs w:val="21"/>
                <w:lang w:eastAsia="zh-CN"/>
              </w:rPr>
              <w:t>www.gdydzb.com/</w:t>
            </w:r>
            <w:r>
              <w:rPr>
                <w:rFonts w:hint="eastAsia" w:ascii="宋体" w:hAnsi="宋体" w:eastAsia="宋体" w:cs="Times New Roman"/>
                <w:color w:val="auto"/>
                <w:sz w:val="21"/>
                <w:szCs w:val="21"/>
                <w:lang w:eastAsia="zh-CN"/>
              </w:rPr>
              <w:fldChar w:fldCharType="end"/>
            </w:r>
            <w:r>
              <w:rPr>
                <w:rFonts w:hint="eastAsia" w:ascii="宋体" w:hAnsi="宋体" w:eastAsia="宋体" w:cs="Times New Roman"/>
                <w:color w:val="auto"/>
                <w:sz w:val="21"/>
                <w:szCs w:val="21"/>
                <w:lang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lang w:val="en-US" w:eastAsia="zh-CN"/>
              </w:rPr>
            </w:pPr>
            <w:r>
              <w:rPr>
                <w:rFonts w:hint="eastAsia" w:hAnsi="宋体"/>
                <w:color w:val="auto"/>
                <w:sz w:val="21"/>
                <w:szCs w:val="21"/>
                <w:lang w:val="en-US" w:eastAsia="zh-CN"/>
              </w:rPr>
              <w:t>15</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bCs/>
                <w:color w:val="auto"/>
                <w:sz w:val="21"/>
                <w:szCs w:val="21"/>
              </w:rPr>
              <w:t>采购人在授予合同时变更采购货物（或</w:t>
            </w:r>
            <w:r>
              <w:rPr>
                <w:rFonts w:hint="eastAsia" w:hAnsi="宋体"/>
                <w:color w:val="auto"/>
                <w:kern w:val="2"/>
                <w:sz w:val="21"/>
                <w:szCs w:val="21"/>
                <w:lang w:val="zh-CN"/>
              </w:rPr>
              <w:t>服务）</w:t>
            </w:r>
            <w:r>
              <w:rPr>
                <w:rFonts w:hint="eastAsia" w:hAnsi="宋体"/>
                <w:bCs/>
                <w:color w:val="auto"/>
                <w:sz w:val="21"/>
                <w:szCs w:val="21"/>
              </w:rPr>
              <w:t>权利</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bCs/>
                <w:color w:val="auto"/>
                <w:sz w:val="21"/>
                <w:szCs w:val="21"/>
              </w:rPr>
              <w:t>变更</w:t>
            </w:r>
            <w:r>
              <w:rPr>
                <w:rFonts w:hint="eastAsia" w:hAnsi="宋体"/>
                <w:color w:val="auto"/>
                <w:kern w:val="2"/>
                <w:sz w:val="21"/>
                <w:szCs w:val="21"/>
                <w:lang w:val="zh-CN"/>
              </w:rPr>
              <w:t>金额</w:t>
            </w:r>
            <w:r>
              <w:rPr>
                <w:rFonts w:hint="eastAsia" w:hAnsi="宋体"/>
                <w:bCs/>
                <w:color w:val="auto"/>
                <w:sz w:val="21"/>
                <w:szCs w:val="21"/>
              </w:rPr>
              <w:t>允许范围为±10%内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lang w:val="en-US" w:eastAsia="zh-CN"/>
              </w:rPr>
            </w:pPr>
            <w:r>
              <w:rPr>
                <w:rFonts w:hint="eastAsia" w:hAnsi="宋体"/>
                <w:color w:val="auto"/>
                <w:sz w:val="21"/>
                <w:szCs w:val="21"/>
                <w:lang w:val="en-US" w:eastAsia="zh-CN"/>
              </w:rPr>
              <w:t>16</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bCs/>
                <w:color w:val="auto"/>
                <w:sz w:val="21"/>
                <w:szCs w:val="21"/>
              </w:rPr>
            </w:pPr>
            <w:r>
              <w:rPr>
                <w:rFonts w:hint="eastAsia" w:hAnsi="宋体"/>
                <w:bCs/>
                <w:color w:val="auto"/>
                <w:sz w:val="21"/>
                <w:szCs w:val="21"/>
              </w:rPr>
              <w:t>履约保证金</w:t>
            </w:r>
          </w:p>
        </w:tc>
        <w:tc>
          <w:tcPr>
            <w:tcW w:w="7126" w:type="dxa"/>
            <w:tcBorders>
              <w:top w:val="single" w:color="auto" w:sz="4" w:space="0"/>
              <w:left w:val="single" w:color="auto" w:sz="4" w:space="0"/>
              <w:bottom w:val="single" w:color="auto" w:sz="4" w:space="0"/>
              <w:right w:val="double" w:color="auto" w:sz="4" w:space="0"/>
            </w:tcBorders>
            <w:vAlign w:val="center"/>
          </w:tcPr>
          <w:p>
            <w:pPr>
              <w:keepLines/>
              <w:kinsoku/>
              <w:overflowPunct/>
              <w:topLinePunct w:val="0"/>
              <w:bidi w:val="0"/>
              <w:spacing w:line="320" w:lineRule="exact"/>
              <w:outlineLvl w:val="9"/>
              <w:rPr>
                <w:rFonts w:hAnsi="宋体"/>
                <w:color w:val="auto"/>
                <w:sz w:val="21"/>
                <w:szCs w:val="21"/>
              </w:rPr>
            </w:pPr>
            <w:r>
              <w:rPr>
                <w:rFonts w:hint="eastAsia" w:hAnsi="宋体"/>
                <w:color w:val="auto"/>
                <w:sz w:val="21"/>
                <w:szCs w:val="21"/>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5"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keepLines/>
              <w:kinsoku/>
              <w:overflowPunct/>
              <w:topLinePunct w:val="0"/>
              <w:bidi w:val="0"/>
              <w:spacing w:line="320" w:lineRule="exact"/>
              <w:jc w:val="center"/>
              <w:outlineLvl w:val="9"/>
              <w:rPr>
                <w:rFonts w:hint="default" w:hAnsi="宋体" w:eastAsia="宋体"/>
                <w:color w:val="auto"/>
                <w:sz w:val="21"/>
                <w:szCs w:val="21"/>
                <w:lang w:val="en-US" w:eastAsia="zh-CN"/>
              </w:rPr>
            </w:pPr>
            <w:r>
              <w:rPr>
                <w:rFonts w:hint="eastAsia" w:hAnsi="宋体"/>
                <w:color w:val="auto"/>
                <w:sz w:val="21"/>
                <w:szCs w:val="21"/>
                <w:lang w:val="en-US" w:eastAsia="zh-CN"/>
              </w:rPr>
              <w:t>17</w:t>
            </w:r>
          </w:p>
        </w:tc>
        <w:tc>
          <w:tcPr>
            <w:tcW w:w="2116" w:type="dxa"/>
            <w:tcBorders>
              <w:top w:val="single" w:color="auto" w:sz="4" w:space="0"/>
              <w:left w:val="single" w:color="auto" w:sz="4" w:space="0"/>
              <w:bottom w:val="single" w:color="auto" w:sz="4" w:space="0"/>
              <w:right w:val="single" w:color="auto" w:sz="4" w:space="0"/>
            </w:tcBorders>
            <w:vAlign w:val="center"/>
          </w:tcPr>
          <w:p>
            <w:pPr>
              <w:keepLines/>
              <w:kinsoku/>
              <w:overflowPunct/>
              <w:topLinePunct w:val="0"/>
              <w:bidi w:val="0"/>
              <w:spacing w:line="320" w:lineRule="exact"/>
              <w:outlineLvl w:val="9"/>
              <w:rPr>
                <w:rFonts w:hAnsi="宋体"/>
                <w:bCs/>
                <w:color w:val="auto"/>
                <w:sz w:val="21"/>
                <w:szCs w:val="21"/>
              </w:rPr>
            </w:pPr>
            <w:r>
              <w:rPr>
                <w:rFonts w:hint="eastAsia" w:hAnsi="宋体"/>
                <w:bCs/>
                <w:color w:val="auto"/>
                <w:sz w:val="21"/>
                <w:szCs w:val="21"/>
              </w:rPr>
              <w:t>成交服务费标准</w:t>
            </w:r>
          </w:p>
        </w:tc>
        <w:tc>
          <w:tcPr>
            <w:tcW w:w="7126" w:type="dxa"/>
            <w:tcBorders>
              <w:top w:val="single" w:color="auto" w:sz="4" w:space="0"/>
              <w:left w:val="single" w:color="auto" w:sz="4" w:space="0"/>
              <w:bottom w:val="single" w:color="auto" w:sz="4" w:space="0"/>
              <w:right w:val="doub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60" w:lineRule="exact"/>
              <w:contextualSpacing/>
              <w:textAlignment w:val="auto"/>
              <w:outlineLvl w:val="9"/>
              <w:rPr>
                <w:rFonts w:hAnsi="宋体"/>
                <w:b/>
                <w:bCs/>
                <w:color w:val="auto"/>
                <w:sz w:val="21"/>
                <w:szCs w:val="21"/>
              </w:rPr>
            </w:pPr>
            <w:r>
              <w:rPr>
                <w:rFonts w:hint="eastAsia" w:hAnsi="宋体" w:cs="Times New Roman"/>
                <w:bCs/>
                <w:color w:val="auto"/>
                <w:sz w:val="21"/>
                <w:szCs w:val="21"/>
                <w:lang w:eastAsia="zh-CN"/>
              </w:rPr>
              <w:t>成交供应商</w:t>
            </w:r>
            <w:r>
              <w:rPr>
                <w:rFonts w:hint="eastAsia" w:ascii="宋体" w:hAnsi="宋体" w:eastAsia="宋体" w:cs="Times New Roman"/>
                <w:bCs/>
                <w:color w:val="auto"/>
                <w:sz w:val="21"/>
                <w:szCs w:val="21"/>
                <w:lang w:eastAsia="zh-CN"/>
              </w:rPr>
              <w:t>在领取《</w:t>
            </w:r>
            <w:r>
              <w:rPr>
                <w:rFonts w:hint="eastAsia" w:hAnsi="宋体" w:cs="Times New Roman"/>
                <w:bCs/>
                <w:color w:val="auto"/>
                <w:sz w:val="21"/>
                <w:szCs w:val="21"/>
                <w:lang w:eastAsia="zh-CN"/>
              </w:rPr>
              <w:t>成交通知书</w:t>
            </w:r>
            <w:r>
              <w:rPr>
                <w:rFonts w:hint="eastAsia" w:ascii="宋体" w:hAnsi="宋体" w:eastAsia="宋体" w:cs="Times New Roman"/>
                <w:bCs/>
                <w:color w:val="auto"/>
                <w:sz w:val="21"/>
                <w:szCs w:val="21"/>
                <w:lang w:eastAsia="zh-CN"/>
              </w:rPr>
              <w:t>》时须向代理机构交纳</w:t>
            </w:r>
            <w:r>
              <w:rPr>
                <w:rFonts w:hint="eastAsia" w:hAnsi="宋体" w:cs="Times New Roman"/>
                <w:bCs/>
                <w:color w:val="auto"/>
                <w:sz w:val="21"/>
                <w:szCs w:val="21"/>
                <w:lang w:eastAsia="zh-CN"/>
              </w:rPr>
              <w:t>成交服务费</w:t>
            </w:r>
            <w:r>
              <w:rPr>
                <w:rFonts w:hint="eastAsia" w:ascii="宋体" w:hAnsi="宋体" w:eastAsia="宋体" w:cs="Times New Roman"/>
                <w:bCs/>
                <w:color w:val="auto"/>
                <w:sz w:val="21"/>
                <w:szCs w:val="21"/>
                <w:lang w:eastAsia="zh-CN"/>
              </w:rPr>
              <w:t>，本项目</w:t>
            </w:r>
            <w:r>
              <w:rPr>
                <w:rFonts w:hint="eastAsia" w:hAnsi="宋体" w:cs="Times New Roman"/>
                <w:bCs/>
                <w:color w:val="auto"/>
                <w:sz w:val="21"/>
                <w:szCs w:val="21"/>
                <w:lang w:eastAsia="zh-CN"/>
              </w:rPr>
              <w:t>成交服务费</w:t>
            </w:r>
            <w:r>
              <w:rPr>
                <w:rFonts w:hint="eastAsia" w:ascii="宋体" w:hAnsi="宋体" w:eastAsia="宋体" w:cs="Times New Roman"/>
                <w:bCs/>
                <w:color w:val="auto"/>
                <w:sz w:val="21"/>
                <w:szCs w:val="21"/>
                <w:lang w:eastAsia="zh-CN"/>
              </w:rPr>
              <w:t>按定额4500.00元收取。</w:t>
            </w:r>
          </w:p>
        </w:tc>
      </w:tr>
    </w:tbl>
    <w:p>
      <w:pPr>
        <w:keepNext w:val="0"/>
        <w:keepLines/>
        <w:pageBreakBefore/>
        <w:widowControl w:val="0"/>
        <w:tabs>
          <w:tab w:val="left" w:pos="567"/>
        </w:tabs>
        <w:kinsoku/>
        <w:wordWrap/>
        <w:overflowPunct/>
        <w:topLinePunct w:val="0"/>
        <w:autoSpaceDE w:val="0"/>
        <w:autoSpaceDN w:val="0"/>
        <w:bidi w:val="0"/>
        <w:adjustRightInd w:val="0"/>
        <w:snapToGrid/>
        <w:spacing w:line="460" w:lineRule="exact"/>
        <w:jc w:val="center"/>
        <w:textAlignment w:val="auto"/>
        <w:outlineLvl w:val="9"/>
        <w:rPr>
          <w:rFonts w:hint="eastAsia" w:ascii="宋体" w:hAnsi="宋体" w:eastAsia="宋体" w:cs="宋体"/>
          <w:b/>
          <w:bCs/>
          <w:color w:val="auto"/>
          <w:kern w:val="44"/>
          <w:lang w:val="zh-CN"/>
        </w:rPr>
      </w:pPr>
      <w:bookmarkStart w:id="28" w:name="_Toc382926891"/>
      <w:bookmarkStart w:id="29" w:name="_Toc382840840"/>
      <w:r>
        <w:rPr>
          <w:rFonts w:hint="eastAsia" w:ascii="宋体" w:hAnsi="宋体" w:eastAsia="宋体" w:cs="宋体"/>
          <w:b/>
          <w:bCs/>
          <w:color w:val="auto"/>
          <w:kern w:val="44"/>
          <w:lang w:val="zh-CN"/>
        </w:rPr>
        <w:br w:type="textWrapping"/>
      </w:r>
      <w:r>
        <w:rPr>
          <w:rFonts w:hint="eastAsia" w:ascii="宋体" w:hAnsi="宋体" w:eastAsia="宋体" w:cs="宋体"/>
          <w:b/>
          <w:bCs/>
          <w:color w:val="auto"/>
          <w:kern w:val="44"/>
          <w:lang w:val="zh-CN"/>
        </w:rPr>
        <w:t>二、</w:t>
      </w:r>
      <w:r>
        <w:rPr>
          <w:rFonts w:hint="eastAsia" w:hAnsi="宋体" w:cs="宋体"/>
          <w:b/>
          <w:bCs/>
          <w:color w:val="auto"/>
          <w:kern w:val="44"/>
          <w:lang w:val="zh-CN"/>
        </w:rPr>
        <w:t>响应供应商</w:t>
      </w:r>
      <w:r>
        <w:rPr>
          <w:rFonts w:hint="eastAsia" w:ascii="宋体" w:hAnsi="宋体" w:eastAsia="宋体" w:cs="宋体"/>
          <w:b/>
          <w:bCs/>
          <w:color w:val="auto"/>
          <w:kern w:val="44"/>
          <w:lang w:val="zh-CN"/>
        </w:rPr>
        <w:t>须知</w:t>
      </w:r>
      <w:bookmarkEnd w:id="28"/>
      <w:bookmarkEnd w:id="29"/>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rPr>
        <w:t>供应商必须认真阅读谈判文件中所有的事项、格式、条款和采购需求等。供应商没有按照谈判文件要求提交全部资料，或者响应文件没有对谈判文件在各方面都做出实质性响应的可能导致其响应无效或被拒绝。</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rPr>
      </w:pPr>
      <w:bookmarkStart w:id="30" w:name="_Toc382926892"/>
      <w:bookmarkStart w:id="31" w:name="_Toc382840841"/>
      <w:r>
        <w:rPr>
          <w:rFonts w:hint="eastAsia" w:ascii="宋体" w:hAnsi="宋体" w:eastAsia="宋体" w:cs="宋体"/>
          <w:b/>
          <w:bCs/>
          <w:color w:val="auto"/>
        </w:rPr>
        <w:t>一、名词解释</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1.</w:t>
      </w:r>
      <w:r>
        <w:rPr>
          <w:rFonts w:hint="eastAsia" w:ascii="宋体" w:hAnsi="宋体" w:eastAsia="宋体" w:cs="宋体"/>
          <w:color w:val="auto"/>
          <w:lang w:val="zh-CN"/>
        </w:rPr>
        <w:t>采购人：本项目的采购人是</w:t>
      </w:r>
      <w:r>
        <w:rPr>
          <w:rFonts w:hint="eastAsia" w:ascii="宋体" w:hAnsi="宋体" w:eastAsia="宋体" w:cs="宋体"/>
          <w:color w:val="auto"/>
          <w:lang w:eastAsia="zh-CN"/>
        </w:rPr>
        <w:t>南方医科大学第七附属医院，</w:t>
      </w:r>
      <w:r>
        <w:rPr>
          <w:rFonts w:hint="eastAsia" w:ascii="宋体" w:hAnsi="宋体" w:eastAsia="宋体" w:cs="宋体"/>
          <w:color w:val="auto"/>
        </w:rPr>
        <w:t>是采购活动当事人之一，负责项目的整体规划、技术方案可行性设计论证与实施，作为合同采购方（用户）的主体承担质疑回复、履行合同、验收与评价等义务。</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2.</w:t>
      </w:r>
      <w:r>
        <w:rPr>
          <w:rFonts w:hint="eastAsia" w:ascii="宋体" w:hAnsi="宋体" w:eastAsia="宋体" w:cs="宋体"/>
          <w:color w:val="auto"/>
          <w:lang w:val="zh-CN"/>
        </w:rPr>
        <w:t>采购代理机构：是指广东远东招标代理有限公司，</w:t>
      </w:r>
      <w:r>
        <w:rPr>
          <w:rFonts w:hint="eastAsia" w:ascii="宋体" w:hAnsi="宋体" w:eastAsia="宋体" w:cs="宋体"/>
          <w:color w:val="auto"/>
        </w:rPr>
        <w:t>负责整个采购活动的组织，依法负责编制和发布谈判文件，对谈判文件拥有最终的解释权，不以任何身份出任谈判小组成员。</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3.</w:t>
      </w:r>
      <w:r>
        <w:rPr>
          <w:rFonts w:hint="eastAsia" w:hAnsi="宋体" w:cs="宋体"/>
          <w:color w:val="auto"/>
          <w:lang w:val="zh-CN"/>
        </w:rPr>
        <w:t>响应供应商</w:t>
      </w:r>
      <w:r>
        <w:rPr>
          <w:rFonts w:hint="eastAsia" w:ascii="宋体" w:hAnsi="宋体" w:eastAsia="宋体" w:cs="宋体"/>
          <w:color w:val="auto"/>
          <w:lang w:val="zh-CN"/>
        </w:rPr>
        <w:t>：是指响应谈判、参加报价竞争的在中华人民共和国境内注册登记的法人。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4.</w:t>
      </w:r>
      <w:r>
        <w:rPr>
          <w:rFonts w:hint="eastAsia" w:ascii="宋体" w:hAnsi="宋体" w:eastAsia="宋体" w:cs="宋体"/>
          <w:color w:val="auto"/>
        </w:rPr>
        <w:t>成交供应商</w:t>
      </w:r>
      <w:r>
        <w:rPr>
          <w:rFonts w:hint="eastAsia" w:ascii="宋体" w:hAnsi="宋体" w:eastAsia="宋体" w:cs="宋体"/>
          <w:color w:val="auto"/>
          <w:lang w:eastAsia="zh-CN"/>
        </w:rPr>
        <w:t>：</w:t>
      </w:r>
      <w:r>
        <w:rPr>
          <w:rFonts w:hint="eastAsia" w:ascii="宋体" w:hAnsi="宋体" w:eastAsia="宋体" w:cs="宋体"/>
          <w:color w:val="auto"/>
          <w:lang w:val="zh-CN"/>
        </w:rPr>
        <w:t>是指由谈判小组评审推荐，经法定程序确定获得本项目成交资格的</w:t>
      </w:r>
      <w:r>
        <w:rPr>
          <w:rFonts w:hint="eastAsia" w:hAnsi="宋体" w:cs="宋体"/>
          <w:color w:val="auto"/>
          <w:lang w:val="zh-CN"/>
        </w:rPr>
        <w:t>响应供应商</w:t>
      </w:r>
      <w:r>
        <w:rPr>
          <w:rFonts w:hint="eastAsia" w:ascii="宋体" w:hAnsi="宋体" w:eastAsia="宋体" w:cs="宋体"/>
          <w:color w:val="auto"/>
          <w:lang w:val="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5.</w:t>
      </w:r>
      <w:r>
        <w:rPr>
          <w:rFonts w:hint="eastAsia" w:ascii="宋体" w:hAnsi="宋体" w:eastAsia="宋体" w:cs="宋体"/>
          <w:color w:val="auto"/>
          <w:lang w:val="zh-CN"/>
        </w:rPr>
        <w:t>谈判小组：是指参照有关法律法规和采购人制度，组建的负责本次谈判的临时性评审工作机构。</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6.</w:t>
      </w:r>
      <w:r>
        <w:rPr>
          <w:rFonts w:hint="eastAsia" w:ascii="宋体" w:hAnsi="宋体" w:eastAsia="宋体" w:cs="宋体"/>
          <w:color w:val="auto"/>
          <w:lang w:val="zh-CN"/>
        </w:rPr>
        <w:t>谈判文件：是指由采购代理机构发出的本谈判文件，包括全部章节</w:t>
      </w:r>
      <w:r>
        <w:rPr>
          <w:rFonts w:hint="eastAsia" w:ascii="宋体" w:hAnsi="宋体" w:eastAsia="宋体" w:cs="宋体"/>
          <w:color w:val="auto"/>
        </w:rPr>
        <w:t>及其补充、变更和澄清等一系列文件</w:t>
      </w:r>
      <w:r>
        <w:rPr>
          <w:rFonts w:hint="eastAsia" w:ascii="宋体" w:hAnsi="宋体" w:eastAsia="宋体" w:cs="宋体"/>
          <w:color w:val="auto"/>
          <w:lang w:val="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7.</w:t>
      </w:r>
      <w:r>
        <w:rPr>
          <w:rFonts w:hint="eastAsia" w:hAnsi="宋体" w:cs="宋体"/>
          <w:color w:val="auto"/>
          <w:lang w:val="zh-CN"/>
        </w:rPr>
        <w:t>响应文件</w:t>
      </w:r>
      <w:r>
        <w:rPr>
          <w:rFonts w:hint="eastAsia" w:ascii="宋体" w:hAnsi="宋体" w:eastAsia="宋体" w:cs="宋体"/>
          <w:color w:val="auto"/>
          <w:lang w:val="zh-CN"/>
        </w:rPr>
        <w:t>：是指</w:t>
      </w:r>
      <w:r>
        <w:rPr>
          <w:rFonts w:hint="eastAsia" w:hAnsi="宋体" w:cs="宋体"/>
          <w:color w:val="auto"/>
          <w:lang w:val="zh-CN"/>
        </w:rPr>
        <w:t>响应供应商</w:t>
      </w:r>
      <w:r>
        <w:rPr>
          <w:rFonts w:hint="eastAsia" w:ascii="宋体" w:hAnsi="宋体" w:eastAsia="宋体" w:cs="宋体"/>
          <w:color w:val="auto"/>
          <w:lang w:val="zh-CN"/>
        </w:rPr>
        <w:t>根据本谈判文件向采购代理机构提交的全部响应文件。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8.</w:t>
      </w:r>
      <w:r>
        <w:rPr>
          <w:rFonts w:hint="eastAsia" w:ascii="宋体" w:hAnsi="宋体" w:eastAsia="宋体" w:cs="宋体"/>
          <w:color w:val="auto"/>
          <w:lang w:val="zh-CN"/>
        </w:rPr>
        <w:t>书面函件：是指手写、打字或印刷的函件，包括电传、电报和传真。</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9.</w:t>
      </w:r>
      <w:r>
        <w:rPr>
          <w:rFonts w:hint="eastAsia" w:ascii="宋体" w:hAnsi="宋体" w:eastAsia="宋体" w:cs="宋体"/>
          <w:color w:val="auto"/>
          <w:lang w:val="zh-CN"/>
        </w:rPr>
        <w:t>合同：是指由本次采购所产生的合同或合约文件。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10.</w:t>
      </w:r>
      <w:r>
        <w:rPr>
          <w:rFonts w:hint="eastAsia" w:ascii="宋体" w:hAnsi="宋体" w:eastAsia="宋体" w:cs="宋体"/>
          <w:color w:val="auto"/>
          <w:lang w:val="zh-CN"/>
        </w:rPr>
        <w:t>甲方：是指在合同条款中指明的采购人。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11.</w:t>
      </w:r>
      <w:r>
        <w:rPr>
          <w:rFonts w:hint="eastAsia" w:ascii="宋体" w:hAnsi="宋体" w:eastAsia="宋体" w:cs="宋体"/>
          <w:color w:val="auto"/>
          <w:lang w:val="zh-CN"/>
        </w:rPr>
        <w:t>乙方：是指在合同条款中指明的本合同项下提供相关服务的公司或实体。</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12.</w:t>
      </w:r>
      <w:r>
        <w:rPr>
          <w:rFonts w:hint="eastAsia" w:ascii="宋体" w:hAnsi="宋体" w:eastAsia="宋体" w:cs="宋体"/>
          <w:color w:val="auto"/>
          <w:lang w:val="zh-CN"/>
        </w:rPr>
        <w:t>日期：是指公历日。</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13.</w:t>
      </w:r>
      <w:r>
        <w:rPr>
          <w:rFonts w:hint="eastAsia" w:ascii="宋体" w:hAnsi="宋体" w:eastAsia="宋体" w:cs="宋体"/>
          <w:color w:val="auto"/>
          <w:lang w:val="zh-CN"/>
        </w:rPr>
        <w:t>时间：是指北京时间。</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14.</w:t>
      </w:r>
      <w:r>
        <w:rPr>
          <w:rFonts w:hint="eastAsia" w:ascii="宋体" w:hAnsi="宋体" w:eastAsia="宋体" w:cs="宋体"/>
          <w:color w:val="auto"/>
        </w:rPr>
        <w:t>货物</w:t>
      </w:r>
      <w:r>
        <w:rPr>
          <w:rFonts w:hint="eastAsia" w:ascii="宋体" w:hAnsi="宋体" w:eastAsia="宋体" w:cs="宋体"/>
          <w:color w:val="auto"/>
          <w:lang w:eastAsia="zh-CN"/>
        </w:rPr>
        <w:t>：</w:t>
      </w:r>
      <w:r>
        <w:rPr>
          <w:rFonts w:hint="eastAsia" w:ascii="宋体" w:hAnsi="宋体" w:eastAsia="宋体" w:cs="宋体"/>
          <w:color w:val="auto"/>
        </w:rPr>
        <w:t>是指</w:t>
      </w:r>
      <w:r>
        <w:rPr>
          <w:rFonts w:hint="eastAsia" w:hAnsi="宋体" w:cs="宋体"/>
          <w:color w:val="auto"/>
          <w:lang w:eastAsia="zh-CN"/>
        </w:rPr>
        <w:t>响应供应商</w:t>
      </w:r>
      <w:r>
        <w:rPr>
          <w:rFonts w:hint="eastAsia" w:ascii="宋体" w:hAnsi="宋体" w:eastAsia="宋体" w:cs="宋体"/>
          <w:color w:val="auto"/>
        </w:rPr>
        <w:t>须承担的谈判文件规定的相关货物。</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15.</w:t>
      </w:r>
      <w:r>
        <w:rPr>
          <w:rFonts w:hint="eastAsia" w:ascii="宋体" w:hAnsi="宋体" w:eastAsia="宋体" w:cs="宋体"/>
          <w:color w:val="auto"/>
          <w:lang w:val="zh-CN"/>
        </w:rPr>
        <w:t>服务：系指与本项目有关的除货物和工程以外的其他采购对象，其中包括：</w:t>
      </w:r>
      <w:r>
        <w:rPr>
          <w:rFonts w:hint="eastAsia" w:hAnsi="宋体" w:cs="宋体"/>
          <w:color w:val="auto"/>
          <w:lang w:val="zh-CN"/>
        </w:rPr>
        <w:t>响应供应商</w:t>
      </w:r>
      <w:r>
        <w:rPr>
          <w:rFonts w:hint="eastAsia" w:ascii="宋体" w:hAnsi="宋体" w:eastAsia="宋体" w:cs="宋体"/>
          <w:color w:val="auto"/>
          <w:lang w:val="zh-CN"/>
        </w:rPr>
        <w:t>须承担的运输、安装、技术支持、培训以及谈判文件规定的其它服务。</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16.</w:t>
      </w:r>
      <w:r>
        <w:rPr>
          <w:rFonts w:hint="eastAsia" w:ascii="宋体" w:hAnsi="宋体" w:eastAsia="宋体" w:cs="宋体"/>
          <w:color w:val="auto"/>
          <w:lang w:val="zh-CN"/>
        </w:rPr>
        <w:t>实质性响应：是指符合谈判文件的所有要求、条款、条件和规定，且没有不利于项目实施质量效果和服务保障的重大偏离或保留。</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17.</w:t>
      </w:r>
      <w:r>
        <w:rPr>
          <w:rFonts w:hint="eastAsia" w:ascii="宋体" w:hAnsi="宋体" w:eastAsia="宋体" w:cs="宋体"/>
          <w:color w:val="auto"/>
          <w:lang w:val="zh-CN"/>
        </w:rPr>
        <w:t>重大偏离或保留：是指影响到谈判文件规定的范围、质量和性能或限制了采购人的权力和</w:t>
      </w:r>
      <w:r>
        <w:rPr>
          <w:rFonts w:hint="eastAsia" w:hAnsi="宋体" w:cs="宋体"/>
          <w:color w:val="auto"/>
          <w:lang w:val="zh-CN"/>
        </w:rPr>
        <w:t>响应供应商</w:t>
      </w:r>
      <w:r>
        <w:rPr>
          <w:rFonts w:hint="eastAsia" w:ascii="宋体" w:hAnsi="宋体" w:eastAsia="宋体" w:cs="宋体"/>
          <w:color w:val="auto"/>
          <w:lang w:val="zh-CN"/>
        </w:rPr>
        <w:t>义务的规定，而纠正这些偏离将影响到其它</w:t>
      </w:r>
      <w:r>
        <w:rPr>
          <w:rFonts w:hint="eastAsia" w:hAnsi="宋体" w:cs="宋体"/>
          <w:color w:val="auto"/>
          <w:lang w:val="zh-CN"/>
        </w:rPr>
        <w:t>响应供应商</w:t>
      </w:r>
      <w:r>
        <w:rPr>
          <w:rFonts w:hint="eastAsia" w:ascii="宋体" w:hAnsi="宋体" w:eastAsia="宋体" w:cs="宋体"/>
          <w:color w:val="auto"/>
          <w:lang w:val="zh-CN"/>
        </w:rPr>
        <w:t>的公平竞争地位。</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rPr>
      </w:pPr>
      <w:r>
        <w:rPr>
          <w:rFonts w:hint="eastAsia" w:ascii="宋体" w:hAnsi="宋体" w:eastAsia="宋体" w:cs="宋体"/>
          <w:b/>
          <w:bCs/>
          <w:color w:val="auto"/>
          <w:lang w:val="zh-CN"/>
        </w:rPr>
        <w:t>二、总则</w:t>
      </w:r>
      <w:bookmarkEnd w:id="30"/>
      <w:bookmarkEnd w:id="31"/>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zh-CN"/>
        </w:rPr>
        <w:t>1</w:t>
      </w:r>
      <w:r>
        <w:rPr>
          <w:rFonts w:hint="eastAsia" w:ascii="宋体" w:hAnsi="宋体" w:eastAsia="宋体" w:cs="宋体"/>
          <w:color w:val="auto"/>
          <w:lang w:val="en-US" w:eastAsia="zh-CN"/>
        </w:rPr>
        <w:t>.</w:t>
      </w:r>
      <w:r>
        <w:rPr>
          <w:rFonts w:hint="eastAsia" w:ascii="宋体" w:hAnsi="宋体" w:eastAsia="宋体" w:cs="宋体"/>
          <w:color w:val="auto"/>
          <w:lang w:val="zh-CN"/>
        </w:rPr>
        <w:t>资金来源：详见《报价须知前附表》。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zh-CN"/>
        </w:rPr>
        <w:t>2</w:t>
      </w:r>
      <w:r>
        <w:rPr>
          <w:rFonts w:hint="eastAsia" w:ascii="宋体" w:hAnsi="宋体" w:eastAsia="宋体" w:cs="宋体"/>
          <w:color w:val="auto"/>
          <w:lang w:val="en-US" w:eastAsia="zh-CN"/>
        </w:rPr>
        <w:t>.</w:t>
      </w:r>
      <w:r>
        <w:rPr>
          <w:rFonts w:hint="eastAsia" w:ascii="宋体" w:hAnsi="宋体" w:eastAsia="宋体" w:cs="宋体"/>
          <w:color w:val="auto"/>
          <w:lang w:val="zh-CN"/>
        </w:rPr>
        <w:t>谈判适用范围：本谈判文件仅适用于本次</w:t>
      </w:r>
      <w:r>
        <w:rPr>
          <w:rFonts w:hint="eastAsia" w:hAnsi="宋体" w:cs="宋体"/>
          <w:color w:val="auto"/>
          <w:lang w:val="zh-CN"/>
        </w:rPr>
        <w:t>谈判邀请</w:t>
      </w:r>
      <w:r>
        <w:rPr>
          <w:rFonts w:hint="eastAsia" w:ascii="宋体" w:hAnsi="宋体" w:eastAsia="宋体" w:cs="宋体"/>
          <w:color w:val="auto"/>
          <w:lang w:val="zh-CN"/>
        </w:rPr>
        <w:t>中所叙述的货物及服务采购。本次谈判采用一个最有竞争力的</w:t>
      </w:r>
      <w:r>
        <w:rPr>
          <w:rFonts w:hint="eastAsia" w:hAnsi="宋体" w:cs="宋体"/>
          <w:color w:val="auto"/>
          <w:lang w:val="zh-CN"/>
        </w:rPr>
        <w:t>响应</w:t>
      </w:r>
      <w:r>
        <w:rPr>
          <w:rFonts w:hint="eastAsia" w:ascii="宋体" w:hAnsi="宋体" w:eastAsia="宋体" w:cs="宋体"/>
          <w:color w:val="auto"/>
          <w:lang w:val="zh-CN"/>
        </w:rPr>
        <w:t>报价和方案，否则将作无效报价处理。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zh-CN"/>
        </w:rPr>
        <w:t>3</w:t>
      </w:r>
      <w:r>
        <w:rPr>
          <w:rFonts w:hint="eastAsia" w:ascii="宋体" w:hAnsi="宋体" w:eastAsia="宋体" w:cs="宋体"/>
          <w:color w:val="auto"/>
          <w:lang w:val="en-US" w:eastAsia="zh-CN"/>
        </w:rPr>
        <w:t>.</w:t>
      </w:r>
      <w:r>
        <w:rPr>
          <w:rFonts w:hint="eastAsia" w:ascii="宋体" w:hAnsi="宋体" w:eastAsia="宋体" w:cs="宋体"/>
          <w:color w:val="auto"/>
          <w:lang w:val="zh-CN"/>
        </w:rPr>
        <w:t>谈判适用的法律：本次谈判参考的主要法律法规为《中华人民共和国政府采购法》及采购人有关规定。</w:t>
      </w:r>
    </w:p>
    <w:p>
      <w:pPr>
        <w:keepNext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4.谈判的方式：</w:t>
      </w:r>
      <w:r>
        <w:rPr>
          <w:rFonts w:hint="eastAsia" w:ascii="宋体" w:hAnsi="宋体" w:eastAsia="宋体" w:cs="宋体"/>
          <w:color w:val="auto"/>
        </w:rPr>
        <w:t>本次竞争性谈判项目，是以谈判公告的方式邀请非特定的供应商参加谈判。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5.</w:t>
      </w:r>
      <w:r>
        <w:rPr>
          <w:rFonts w:hint="eastAsia" w:ascii="宋体" w:hAnsi="宋体" w:eastAsia="宋体" w:cs="宋体"/>
          <w:color w:val="auto"/>
          <w:lang w:val="zh-CN"/>
        </w:rPr>
        <w:t>合格的</w:t>
      </w:r>
      <w:r>
        <w:rPr>
          <w:rFonts w:hint="eastAsia" w:hAnsi="宋体" w:cs="宋体"/>
          <w:color w:val="auto"/>
          <w:lang w:val="zh-CN"/>
        </w:rPr>
        <w:t>响应供应商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w:t>
      </w:r>
      <w:r>
        <w:rPr>
          <w:rFonts w:hint="eastAsia" w:ascii="宋体" w:hAnsi="宋体" w:eastAsia="宋体" w:cs="宋体"/>
          <w:color w:val="auto"/>
          <w:lang w:val="zh-CN"/>
        </w:rPr>
        <w:t>符合谈判文件规定的资格要求及特殊条件要求，合格</w:t>
      </w:r>
      <w:r>
        <w:rPr>
          <w:rFonts w:hint="eastAsia" w:hAnsi="宋体" w:cs="宋体"/>
          <w:color w:val="auto"/>
          <w:lang w:val="zh-CN"/>
        </w:rPr>
        <w:t>响应供应商</w:t>
      </w:r>
      <w:r>
        <w:rPr>
          <w:rFonts w:hint="eastAsia" w:ascii="宋体" w:hAnsi="宋体" w:eastAsia="宋体" w:cs="宋体"/>
          <w:color w:val="auto"/>
          <w:lang w:val="zh-CN"/>
        </w:rPr>
        <w:t>的条件详见《报价须知前附表》的“合格的</w:t>
      </w:r>
      <w:r>
        <w:rPr>
          <w:rFonts w:hint="eastAsia" w:hAnsi="宋体" w:cs="宋体"/>
          <w:color w:val="auto"/>
          <w:lang w:val="zh-CN"/>
        </w:rPr>
        <w:t>响应供应商</w:t>
      </w:r>
      <w:r>
        <w:rPr>
          <w:rFonts w:hint="eastAsia" w:ascii="宋体" w:hAnsi="宋体" w:eastAsia="宋体" w:cs="宋体"/>
          <w:color w:val="auto"/>
          <w:lang w:val="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（2）</w:t>
      </w:r>
      <w:r>
        <w:rPr>
          <w:rFonts w:hint="eastAsia" w:ascii="宋体" w:hAnsi="宋体" w:eastAsia="宋体" w:cs="宋体"/>
          <w:color w:val="auto"/>
          <w:lang w:val="zh-CN"/>
        </w:rPr>
        <w:t>为达到履行本采购合同及相关服务的目的，参加报价的</w:t>
      </w:r>
      <w:r>
        <w:rPr>
          <w:rFonts w:hint="eastAsia" w:hAnsi="宋体" w:cs="宋体"/>
          <w:color w:val="auto"/>
          <w:lang w:val="zh-CN"/>
        </w:rPr>
        <w:t>响应供应商</w:t>
      </w:r>
      <w:r>
        <w:rPr>
          <w:rFonts w:hint="eastAsia" w:ascii="宋体" w:hAnsi="宋体" w:eastAsia="宋体" w:cs="宋体"/>
          <w:color w:val="auto"/>
          <w:lang w:val="zh-CN"/>
        </w:rPr>
        <w:t>必须满足条件详见《报价须知前附表》。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（3）</w:t>
      </w:r>
      <w:r>
        <w:rPr>
          <w:rFonts w:hint="eastAsia" w:hAnsi="宋体" w:cs="宋体"/>
          <w:color w:val="auto"/>
          <w:lang w:val="zh-CN"/>
        </w:rPr>
        <w:t>响应供应商</w:t>
      </w:r>
      <w:r>
        <w:rPr>
          <w:rFonts w:hint="eastAsia" w:ascii="宋体" w:hAnsi="宋体" w:eastAsia="宋体" w:cs="宋体"/>
          <w:color w:val="auto"/>
          <w:lang w:val="zh-CN"/>
        </w:rPr>
        <w:t>应该参考《中华人民共和国政府采购法》及采购人有关规定进行报价。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（4）</w:t>
      </w:r>
      <w:r>
        <w:rPr>
          <w:rFonts w:hint="eastAsia" w:hAnsi="宋体" w:cs="宋体"/>
          <w:color w:val="auto"/>
          <w:lang w:val="zh-CN"/>
        </w:rPr>
        <w:t>响应供应商</w:t>
      </w:r>
      <w:r>
        <w:rPr>
          <w:rFonts w:hint="eastAsia" w:ascii="宋体" w:hAnsi="宋体" w:eastAsia="宋体" w:cs="宋体"/>
          <w:color w:val="auto"/>
          <w:lang w:val="zh-CN"/>
        </w:rPr>
        <w:t>应在</w:t>
      </w:r>
      <w:r>
        <w:rPr>
          <w:rFonts w:hint="eastAsia" w:hAnsi="宋体" w:cs="宋体"/>
          <w:color w:val="auto"/>
          <w:lang w:val="zh-CN"/>
        </w:rPr>
        <w:t>响应文件</w:t>
      </w:r>
      <w:r>
        <w:rPr>
          <w:rFonts w:hint="eastAsia" w:ascii="宋体" w:hAnsi="宋体" w:eastAsia="宋体" w:cs="宋体"/>
          <w:color w:val="auto"/>
          <w:lang w:val="zh-CN"/>
        </w:rPr>
        <w:t>中主动填报报价之前三年内有无受各级管理部门的处分或处罚，如果不主动填报而被发现的，将取消其报价资格，并按有关规定从重处理。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（5）</w:t>
      </w:r>
      <w:r>
        <w:rPr>
          <w:rFonts w:hint="eastAsia" w:ascii="宋体" w:hAnsi="宋体" w:eastAsia="宋体" w:cs="宋体"/>
          <w:color w:val="auto"/>
          <w:lang w:val="zh-CN"/>
        </w:rPr>
        <w:t>不同的</w:t>
      </w:r>
      <w:r>
        <w:rPr>
          <w:rFonts w:hint="eastAsia" w:hAnsi="宋体" w:cs="宋体"/>
          <w:color w:val="auto"/>
          <w:lang w:val="zh-CN"/>
        </w:rPr>
        <w:t>响应供应商</w:t>
      </w:r>
      <w:r>
        <w:rPr>
          <w:rFonts w:hint="eastAsia" w:ascii="宋体" w:hAnsi="宋体" w:eastAsia="宋体" w:cs="宋体"/>
          <w:color w:val="auto"/>
          <w:lang w:val="zh-CN"/>
        </w:rPr>
        <w:t>之间有下列情形之一的，不接受作为参与同一采购项目竞争的供应商：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rPr>
      </w:pPr>
      <w:r>
        <w:rPr>
          <w:rFonts w:hint="eastAsia" w:ascii="宋体" w:hAnsi="宋体" w:eastAsia="宋体" w:cs="宋体"/>
          <w:color w:val="auto"/>
          <w:lang w:val="en-US" w:eastAsia="zh-CN"/>
        </w:rPr>
        <w:t>1</w:t>
      </w:r>
      <w:r>
        <w:rPr>
          <w:rFonts w:hint="eastAsia" w:ascii="宋体" w:hAnsi="宋体" w:eastAsia="宋体" w:cs="宋体"/>
          <w:color w:val="auto"/>
          <w:lang w:val="zh-CN"/>
        </w:rPr>
        <w:t>）彼此存在投资与被投资关系的；</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）彼此的经营者、董事会（或同类管理机构）成员属于直系亲属或配偶关系的。</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（6）</w:t>
      </w:r>
      <w:r>
        <w:rPr>
          <w:rFonts w:hint="eastAsia" w:ascii="宋体" w:hAnsi="宋体" w:eastAsia="宋体" w:cs="宋体"/>
          <w:color w:val="auto"/>
          <w:lang w:val="zh-CN" w:eastAsia="zh-CN"/>
        </w:rPr>
        <w:t>本项目不允许联合体报价。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6.</w:t>
      </w:r>
      <w:r>
        <w:rPr>
          <w:rFonts w:hint="eastAsia" w:ascii="宋体" w:hAnsi="宋体" w:eastAsia="宋体" w:cs="宋体"/>
          <w:color w:val="auto"/>
          <w:lang w:val="zh-CN" w:eastAsia="zh-CN"/>
        </w:rPr>
        <w:t>纪律与保密事项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hAnsi="宋体" w:cs="宋体"/>
          <w:color w:val="auto"/>
          <w:lang w:val="zh-CN" w:eastAsia="zh-CN"/>
        </w:rPr>
        <w:t>响应供应商</w:t>
      </w:r>
      <w:r>
        <w:rPr>
          <w:rFonts w:hint="eastAsia" w:ascii="宋体" w:hAnsi="宋体" w:eastAsia="宋体" w:cs="宋体"/>
          <w:color w:val="auto"/>
          <w:lang w:val="zh-CN" w:eastAsia="zh-CN"/>
        </w:rPr>
        <w:t>不得相互串通报价，或以不正当的手段妨碍、排挤其他</w:t>
      </w:r>
      <w:r>
        <w:rPr>
          <w:rFonts w:hint="eastAsia" w:hAnsi="宋体" w:cs="宋体"/>
          <w:color w:val="auto"/>
          <w:lang w:val="zh-CN" w:eastAsia="zh-CN"/>
        </w:rPr>
        <w:t>响应供应商</w:t>
      </w:r>
      <w:r>
        <w:rPr>
          <w:rFonts w:hint="eastAsia" w:ascii="宋体" w:hAnsi="宋体" w:eastAsia="宋体" w:cs="宋体"/>
          <w:color w:val="auto"/>
          <w:lang w:val="zh-CN" w:eastAsia="zh-CN"/>
        </w:rPr>
        <w:t>，扰乱谈判市场，破坏公平竞争原则，不得损害采购人或其他</w:t>
      </w:r>
      <w:r>
        <w:rPr>
          <w:rFonts w:hint="eastAsia" w:hAnsi="宋体" w:cs="宋体"/>
          <w:color w:val="auto"/>
          <w:lang w:val="zh-CN" w:eastAsia="zh-CN"/>
        </w:rPr>
        <w:t>响应供应商</w:t>
      </w:r>
      <w:r>
        <w:rPr>
          <w:rFonts w:hint="eastAsia" w:ascii="宋体" w:hAnsi="宋体" w:eastAsia="宋体" w:cs="宋体"/>
          <w:color w:val="auto"/>
          <w:lang w:val="zh-CN" w:eastAsia="zh-CN"/>
        </w:rPr>
        <w:t>的合法权益，</w:t>
      </w:r>
      <w:r>
        <w:rPr>
          <w:rFonts w:hint="eastAsia" w:hAnsi="宋体" w:cs="宋体"/>
          <w:color w:val="auto"/>
          <w:lang w:val="zh-CN" w:eastAsia="zh-CN"/>
        </w:rPr>
        <w:t>响应供应商</w:t>
      </w:r>
      <w:r>
        <w:rPr>
          <w:rFonts w:hint="eastAsia" w:ascii="宋体" w:hAnsi="宋体" w:eastAsia="宋体" w:cs="宋体"/>
          <w:color w:val="auto"/>
          <w:lang w:val="zh-CN" w:eastAsia="zh-CN"/>
        </w:rPr>
        <w:t>不得以向采购人、谈判小组成员行贿或者采取其他不正当手段谋取成交。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获得本谈判文件者，应对文件进行保密，不得用作本次报价以外的任何用途。若有要求，报价后，</w:t>
      </w:r>
      <w:r>
        <w:rPr>
          <w:rFonts w:hint="eastAsia" w:hAnsi="宋体" w:cs="宋体"/>
          <w:color w:val="auto"/>
          <w:lang w:val="zh-CN" w:eastAsia="zh-CN"/>
        </w:rPr>
        <w:t>响应供应商</w:t>
      </w:r>
      <w:r>
        <w:rPr>
          <w:rFonts w:hint="eastAsia" w:ascii="宋体" w:hAnsi="宋体" w:eastAsia="宋体" w:cs="宋体"/>
          <w:color w:val="auto"/>
          <w:lang w:val="zh-CN" w:eastAsia="zh-CN"/>
        </w:rPr>
        <w:t>应归还谈判文件中保密的文件和资料。</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由采购人向</w:t>
      </w:r>
      <w:r>
        <w:rPr>
          <w:rFonts w:hint="eastAsia" w:hAnsi="宋体" w:cs="宋体"/>
          <w:color w:val="auto"/>
          <w:lang w:val="zh-CN" w:eastAsia="zh-CN"/>
        </w:rPr>
        <w:t>响应供应商</w:t>
      </w:r>
      <w:r>
        <w:rPr>
          <w:rFonts w:hint="eastAsia" w:ascii="宋体" w:hAnsi="宋体" w:eastAsia="宋体" w:cs="宋体"/>
          <w:color w:val="auto"/>
          <w:lang w:val="zh-CN" w:eastAsia="zh-CN"/>
        </w:rPr>
        <w:t>提供详细资料和所有其他资料，被视为保密资料，仅被用于它所规定的用途。除非得到采购人的同意，不能向任何第三方透露。</w:t>
      </w:r>
      <w:r>
        <w:rPr>
          <w:rFonts w:hint="eastAsia" w:hAnsi="宋体" w:cs="宋体"/>
          <w:color w:val="auto"/>
          <w:lang w:val="zh-CN" w:eastAsia="zh-CN"/>
        </w:rPr>
        <w:t>谈判</w:t>
      </w:r>
      <w:r>
        <w:rPr>
          <w:rFonts w:hint="eastAsia" w:ascii="宋体" w:hAnsi="宋体" w:eastAsia="宋体" w:cs="宋体"/>
          <w:color w:val="auto"/>
          <w:lang w:val="zh-CN" w:eastAsia="zh-CN"/>
        </w:rPr>
        <w:t>结束后，应采购人要求，</w:t>
      </w:r>
      <w:r>
        <w:rPr>
          <w:rFonts w:hint="eastAsia" w:hAnsi="宋体" w:cs="宋体"/>
          <w:color w:val="auto"/>
          <w:lang w:val="zh-CN" w:eastAsia="zh-CN"/>
        </w:rPr>
        <w:t>响应供应商</w:t>
      </w:r>
      <w:r>
        <w:rPr>
          <w:rFonts w:hint="eastAsia" w:ascii="宋体" w:hAnsi="宋体" w:eastAsia="宋体" w:cs="宋体"/>
          <w:color w:val="auto"/>
          <w:lang w:val="zh-CN" w:eastAsia="zh-CN"/>
        </w:rPr>
        <w:t>应归还所有从采购人处获得的保密资料。</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除</w:t>
      </w:r>
      <w:r>
        <w:rPr>
          <w:rFonts w:hint="eastAsia" w:hAnsi="宋体" w:cs="宋体"/>
          <w:color w:val="auto"/>
          <w:lang w:val="zh-CN" w:eastAsia="zh-CN"/>
        </w:rPr>
        <w:t>响应供应商</w:t>
      </w:r>
      <w:r>
        <w:rPr>
          <w:rFonts w:hint="eastAsia" w:ascii="宋体" w:hAnsi="宋体" w:eastAsia="宋体" w:cs="宋体"/>
          <w:color w:val="auto"/>
          <w:lang w:val="zh-CN" w:eastAsia="zh-CN"/>
        </w:rPr>
        <w:t>被要求对</w:t>
      </w:r>
      <w:r>
        <w:rPr>
          <w:rFonts w:hint="eastAsia" w:hAnsi="宋体" w:cs="宋体"/>
          <w:color w:val="auto"/>
          <w:lang w:val="zh-CN" w:eastAsia="zh-CN"/>
        </w:rPr>
        <w:t>响应文件</w:t>
      </w:r>
      <w:r>
        <w:rPr>
          <w:rFonts w:hint="eastAsia" w:ascii="宋体" w:hAnsi="宋体" w:eastAsia="宋体" w:cs="宋体"/>
          <w:color w:val="auto"/>
          <w:lang w:val="zh-CN" w:eastAsia="zh-CN"/>
        </w:rPr>
        <w:t>进行澄清外，在确定成交供应商之前，</w:t>
      </w:r>
      <w:r>
        <w:rPr>
          <w:rFonts w:hint="eastAsia" w:hAnsi="宋体" w:cs="宋体"/>
          <w:color w:val="auto"/>
          <w:lang w:val="zh-CN" w:eastAsia="zh-CN"/>
        </w:rPr>
        <w:t>响应供应商</w:t>
      </w:r>
      <w:r>
        <w:rPr>
          <w:rFonts w:hint="eastAsia" w:ascii="宋体" w:hAnsi="宋体" w:eastAsia="宋体" w:cs="宋体"/>
          <w:color w:val="auto"/>
          <w:lang w:val="zh-CN" w:eastAsia="zh-CN"/>
        </w:rPr>
        <w:t>不得与采购人就</w:t>
      </w:r>
      <w:r>
        <w:rPr>
          <w:rFonts w:hint="eastAsia" w:hAnsi="宋体" w:cs="宋体"/>
          <w:color w:val="auto"/>
          <w:lang w:val="zh-CN" w:eastAsia="zh-CN"/>
        </w:rPr>
        <w:t>响应</w:t>
      </w:r>
      <w:r>
        <w:rPr>
          <w:rFonts w:hint="eastAsia" w:ascii="宋体" w:hAnsi="宋体" w:eastAsia="宋体" w:cs="宋体"/>
          <w:color w:val="auto"/>
          <w:lang w:val="zh-CN" w:eastAsia="zh-CN"/>
        </w:rPr>
        <w:t>价格、</w:t>
      </w:r>
      <w:r>
        <w:rPr>
          <w:rFonts w:hint="eastAsia" w:hAnsi="宋体" w:cs="宋体"/>
          <w:color w:val="auto"/>
          <w:lang w:val="zh-CN" w:eastAsia="zh-CN"/>
        </w:rPr>
        <w:t>响应</w:t>
      </w:r>
      <w:r>
        <w:rPr>
          <w:rFonts w:hint="eastAsia" w:ascii="宋体" w:hAnsi="宋体" w:eastAsia="宋体" w:cs="宋体"/>
          <w:color w:val="auto"/>
          <w:lang w:val="zh-CN" w:eastAsia="zh-CN"/>
        </w:rPr>
        <w:t>方案等实质性内容进行谈判，也不得私下接触谈判小组成员。</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（5）</w:t>
      </w:r>
      <w:r>
        <w:rPr>
          <w:rFonts w:hint="eastAsia" w:ascii="宋体" w:hAnsi="宋体" w:eastAsia="宋体" w:cs="宋体"/>
          <w:color w:val="auto"/>
          <w:lang w:val="zh-CN" w:eastAsia="zh-CN"/>
        </w:rPr>
        <w:t>从递交</w:t>
      </w:r>
      <w:r>
        <w:rPr>
          <w:rFonts w:hint="eastAsia" w:hAnsi="宋体" w:cs="宋体"/>
          <w:color w:val="auto"/>
          <w:lang w:val="zh-CN" w:eastAsia="zh-CN"/>
        </w:rPr>
        <w:t>响应文件</w:t>
      </w:r>
      <w:r>
        <w:rPr>
          <w:rFonts w:hint="eastAsia" w:ascii="宋体" w:hAnsi="宋体" w:eastAsia="宋体" w:cs="宋体"/>
          <w:color w:val="auto"/>
          <w:lang w:val="zh-CN" w:eastAsia="zh-CN"/>
        </w:rPr>
        <w:t>截止之日起至授予合同期间，在</w:t>
      </w:r>
      <w:r>
        <w:rPr>
          <w:rFonts w:hint="eastAsia" w:hAnsi="宋体" w:cs="宋体"/>
          <w:color w:val="auto"/>
          <w:lang w:val="zh-CN" w:eastAsia="zh-CN"/>
        </w:rPr>
        <w:t>响应文件</w:t>
      </w:r>
      <w:r>
        <w:rPr>
          <w:rFonts w:hint="eastAsia" w:ascii="宋体" w:hAnsi="宋体" w:eastAsia="宋体" w:cs="宋体"/>
          <w:color w:val="auto"/>
          <w:lang w:val="zh-CN" w:eastAsia="zh-CN"/>
        </w:rPr>
        <w:t>的审查、澄清、比较和评价阶段，</w:t>
      </w:r>
      <w:r>
        <w:rPr>
          <w:rFonts w:hint="eastAsia" w:hAnsi="宋体" w:cs="宋体"/>
          <w:color w:val="auto"/>
          <w:lang w:val="zh-CN" w:eastAsia="zh-CN"/>
        </w:rPr>
        <w:t>响应供应商</w:t>
      </w:r>
      <w:r>
        <w:rPr>
          <w:rFonts w:hint="eastAsia" w:ascii="宋体" w:hAnsi="宋体" w:eastAsia="宋体" w:cs="宋体"/>
          <w:color w:val="auto"/>
          <w:lang w:val="zh-CN" w:eastAsia="zh-CN"/>
        </w:rPr>
        <w:t>试图对谈判小组和采购代理机构施加任何影响或对采购人的比较及授予合同的决定产生影响，都可能导致其</w:t>
      </w:r>
      <w:r>
        <w:rPr>
          <w:rFonts w:hint="eastAsia" w:hAnsi="宋体" w:cs="宋体"/>
          <w:color w:val="auto"/>
          <w:lang w:val="zh-CN" w:eastAsia="zh-CN"/>
        </w:rPr>
        <w:t>响应文件</w:t>
      </w:r>
      <w:r>
        <w:rPr>
          <w:rFonts w:hint="eastAsia" w:ascii="宋体" w:hAnsi="宋体" w:eastAsia="宋体" w:cs="宋体"/>
          <w:color w:val="auto"/>
          <w:lang w:val="zh-CN" w:eastAsia="zh-CN"/>
        </w:rPr>
        <w:t>被拒绝。</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7.</w:t>
      </w:r>
      <w:r>
        <w:rPr>
          <w:rFonts w:hint="eastAsia" w:ascii="宋体" w:hAnsi="宋体" w:eastAsia="宋体" w:cs="宋体"/>
          <w:color w:val="auto"/>
          <w:lang w:val="zh-CN" w:eastAsia="zh-CN"/>
        </w:rPr>
        <w:t>进口产品</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若本项目允许采购进口产品，供应商应保证所投产品可履行合法报通关手续进入中国关境内。</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若本项目不允许采购进口产品，如供应商所投产品为进口产品，其响应将被认定为响应无效。</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8</w:t>
      </w:r>
      <w:r>
        <w:rPr>
          <w:rFonts w:hint="eastAsia" w:ascii="宋体" w:hAnsi="宋体" w:eastAsia="宋体" w:cs="宋体"/>
          <w:color w:val="auto"/>
          <w:lang w:val="zh-CN" w:eastAsia="zh-CN"/>
        </w:rPr>
        <w:t>.语言文字以及度量衡单位</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除谈判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）除非谈判文件的技术规格中另有规定，供应商在响应文件中及其与采购人和采购代理机构的所有往来文件中的计量单位均应采用中华人民共和国法定计量单位。</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）供应商所提供的货物和服务均应以人民币报价，货币单位：元。</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9.</w:t>
      </w:r>
      <w:r>
        <w:rPr>
          <w:rFonts w:hint="eastAsia" w:ascii="宋体" w:hAnsi="宋体" w:eastAsia="宋体" w:cs="宋体"/>
          <w:color w:val="auto"/>
          <w:lang w:val="zh-CN" w:eastAsia="zh-CN"/>
        </w:rPr>
        <w:t>其它说明</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w:t>
      </w:r>
      <w:r>
        <w:rPr>
          <w:rFonts w:hint="eastAsia" w:ascii="宋体" w:hAnsi="宋体" w:eastAsia="宋体" w:cs="宋体"/>
          <w:color w:val="auto"/>
          <w:lang w:val="zh-CN" w:eastAsia="zh-CN"/>
        </w:rPr>
        <w:t>费用：不论报价结果如何，</w:t>
      </w:r>
      <w:r>
        <w:rPr>
          <w:rFonts w:hint="eastAsia" w:hAnsi="宋体" w:cs="宋体"/>
          <w:color w:val="auto"/>
          <w:lang w:val="zh-CN" w:eastAsia="zh-CN"/>
        </w:rPr>
        <w:t>响应供应商</w:t>
      </w:r>
      <w:r>
        <w:rPr>
          <w:rFonts w:hint="eastAsia" w:ascii="宋体" w:hAnsi="宋体" w:eastAsia="宋体" w:cs="宋体"/>
          <w:color w:val="auto"/>
          <w:lang w:val="zh-CN" w:eastAsia="zh-CN"/>
        </w:rPr>
        <w:t>应承担自身因</w:t>
      </w:r>
      <w:r>
        <w:rPr>
          <w:rFonts w:hint="eastAsia" w:hAnsi="宋体" w:cs="宋体"/>
          <w:color w:val="auto"/>
          <w:lang w:val="zh-CN" w:eastAsia="zh-CN"/>
        </w:rPr>
        <w:t>响应文件</w:t>
      </w:r>
      <w:r>
        <w:rPr>
          <w:rFonts w:hint="eastAsia" w:ascii="宋体" w:hAnsi="宋体" w:eastAsia="宋体" w:cs="宋体"/>
          <w:color w:val="auto"/>
          <w:lang w:val="zh-CN" w:eastAsia="zh-CN"/>
        </w:rPr>
        <w:t>编制、递交及其他参加本谈判活动所涉及的一切费用，采购人对上述费用不负任何责任。</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踏勘现场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1）</w:t>
      </w:r>
      <w:r>
        <w:rPr>
          <w:rFonts w:hint="eastAsia" w:hAnsi="宋体" w:cs="宋体"/>
          <w:color w:val="auto"/>
          <w:lang w:val="zh-CN" w:eastAsia="zh-CN"/>
        </w:rPr>
        <w:t>响应供应商</w:t>
      </w:r>
      <w:r>
        <w:rPr>
          <w:rFonts w:hint="eastAsia" w:ascii="宋体" w:hAnsi="宋体" w:eastAsia="宋体" w:cs="宋体"/>
          <w:color w:val="auto"/>
          <w:lang w:val="zh-CN" w:eastAsia="zh-CN"/>
        </w:rPr>
        <w:t>应按本《报价须知前附表》所述时间和要求对工程现场及周围环境进行踏勘，</w:t>
      </w:r>
      <w:r>
        <w:rPr>
          <w:rFonts w:hint="eastAsia" w:hAnsi="宋体" w:cs="宋体"/>
          <w:color w:val="auto"/>
          <w:lang w:val="zh-CN" w:eastAsia="zh-CN"/>
        </w:rPr>
        <w:t>响应供应商</w:t>
      </w:r>
      <w:r>
        <w:rPr>
          <w:rFonts w:hint="eastAsia" w:ascii="宋体" w:hAnsi="宋体" w:eastAsia="宋体" w:cs="宋体"/>
          <w:color w:val="auto"/>
          <w:lang w:val="zh-CN" w:eastAsia="zh-CN"/>
        </w:rPr>
        <w:t>应充分重视和仔细地进行这种考察，以便获取那些须</w:t>
      </w:r>
      <w:r>
        <w:rPr>
          <w:rFonts w:hint="eastAsia" w:hAnsi="宋体" w:cs="宋体"/>
          <w:color w:val="auto"/>
          <w:lang w:val="zh-CN" w:eastAsia="zh-CN"/>
        </w:rPr>
        <w:t>响应供应商</w:t>
      </w:r>
      <w:r>
        <w:rPr>
          <w:rFonts w:hint="eastAsia" w:ascii="宋体" w:hAnsi="宋体" w:eastAsia="宋体" w:cs="宋体"/>
          <w:color w:val="auto"/>
          <w:lang w:val="zh-CN" w:eastAsia="zh-CN"/>
        </w:rPr>
        <w:t>自己负责的有关编制</w:t>
      </w:r>
      <w:r>
        <w:rPr>
          <w:rFonts w:hint="eastAsia" w:hAnsi="宋体" w:cs="宋体"/>
          <w:color w:val="auto"/>
          <w:lang w:val="zh-CN" w:eastAsia="zh-CN"/>
        </w:rPr>
        <w:t>响应文件</w:t>
      </w:r>
      <w:r>
        <w:rPr>
          <w:rFonts w:hint="eastAsia" w:ascii="宋体" w:hAnsi="宋体" w:eastAsia="宋体" w:cs="宋体"/>
          <w:color w:val="auto"/>
          <w:lang w:val="zh-CN" w:eastAsia="zh-CN"/>
        </w:rPr>
        <w:t>和签署合同所涉及现场所有的资料。一旦成交，这种考察即被认为其结果已在成交文件中得到充分反映。考察现场的费用由</w:t>
      </w:r>
      <w:r>
        <w:rPr>
          <w:rFonts w:hint="eastAsia" w:hAnsi="宋体" w:cs="宋体"/>
          <w:color w:val="auto"/>
          <w:lang w:val="zh-CN" w:eastAsia="zh-CN"/>
        </w:rPr>
        <w:t>响应供应商</w:t>
      </w:r>
      <w:r>
        <w:rPr>
          <w:rFonts w:hint="eastAsia" w:ascii="宋体" w:hAnsi="宋体" w:eastAsia="宋体" w:cs="宋体"/>
          <w:color w:val="auto"/>
          <w:lang w:val="zh-CN" w:eastAsia="zh-CN"/>
        </w:rPr>
        <w:t>自己承担。</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2）采购人向</w:t>
      </w:r>
      <w:r>
        <w:rPr>
          <w:rFonts w:hint="eastAsia" w:hAnsi="宋体" w:cs="宋体"/>
          <w:color w:val="auto"/>
          <w:lang w:val="zh-CN" w:eastAsia="zh-CN"/>
        </w:rPr>
        <w:t>响应供应商</w:t>
      </w:r>
      <w:r>
        <w:rPr>
          <w:rFonts w:hint="eastAsia" w:ascii="宋体" w:hAnsi="宋体" w:eastAsia="宋体" w:cs="宋体"/>
          <w:color w:val="auto"/>
          <w:lang w:val="zh-CN" w:eastAsia="zh-CN"/>
        </w:rPr>
        <w:t>提供的有关现场的数据和资料，是采购人现有的能被</w:t>
      </w:r>
      <w:r>
        <w:rPr>
          <w:rFonts w:hint="eastAsia" w:hAnsi="宋体" w:cs="宋体"/>
          <w:color w:val="auto"/>
          <w:lang w:val="zh-CN" w:eastAsia="zh-CN"/>
        </w:rPr>
        <w:t>响应供应商</w:t>
      </w:r>
      <w:r>
        <w:rPr>
          <w:rFonts w:hint="eastAsia" w:ascii="宋体" w:hAnsi="宋体" w:eastAsia="宋体" w:cs="宋体"/>
          <w:color w:val="auto"/>
          <w:lang w:val="zh-CN" w:eastAsia="zh-CN"/>
        </w:rPr>
        <w:t>利用的资料，采购人对</w:t>
      </w:r>
      <w:r>
        <w:rPr>
          <w:rFonts w:hint="eastAsia" w:hAnsi="宋体" w:cs="宋体"/>
          <w:color w:val="auto"/>
          <w:lang w:val="zh-CN" w:eastAsia="zh-CN"/>
        </w:rPr>
        <w:t>响应供应商</w:t>
      </w:r>
      <w:r>
        <w:rPr>
          <w:rFonts w:hint="eastAsia" w:ascii="宋体" w:hAnsi="宋体" w:eastAsia="宋体" w:cs="宋体"/>
          <w:color w:val="auto"/>
          <w:lang w:val="zh-CN" w:eastAsia="zh-CN"/>
        </w:rPr>
        <w:t>做出的任何推论、理解和结论均不负责任。</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3）经采购人允许，</w:t>
      </w:r>
      <w:r>
        <w:rPr>
          <w:rFonts w:hint="eastAsia" w:hAnsi="宋体" w:cs="宋体"/>
          <w:color w:val="auto"/>
          <w:lang w:val="zh-CN" w:eastAsia="zh-CN"/>
        </w:rPr>
        <w:t>响应供应商</w:t>
      </w:r>
      <w:r>
        <w:rPr>
          <w:rFonts w:hint="eastAsia" w:ascii="宋体" w:hAnsi="宋体" w:eastAsia="宋体" w:cs="宋体"/>
          <w:color w:val="auto"/>
          <w:lang w:val="zh-CN" w:eastAsia="zh-CN"/>
        </w:rPr>
        <w:t>可为踏勘目的进入采购人的项目现场。在考察过程中，</w:t>
      </w:r>
      <w:r>
        <w:rPr>
          <w:rFonts w:hint="eastAsia" w:hAnsi="宋体" w:cs="宋体"/>
          <w:color w:val="auto"/>
          <w:lang w:val="zh-CN" w:eastAsia="zh-CN"/>
        </w:rPr>
        <w:t>响应供应商</w:t>
      </w:r>
      <w:r>
        <w:rPr>
          <w:rFonts w:hint="eastAsia" w:ascii="宋体" w:hAnsi="宋体" w:eastAsia="宋体" w:cs="宋体"/>
          <w:color w:val="auto"/>
          <w:lang w:val="zh-CN" w:eastAsia="zh-CN"/>
        </w:rPr>
        <w:t>及其代表必须承担那些进入现场后，由于他们的行为所造成的人身伤害（不管是否致命）、财产损失或损坏，以及其他任何原因造成的损失、损坏或费用，</w:t>
      </w:r>
      <w:r>
        <w:rPr>
          <w:rFonts w:hint="eastAsia" w:hAnsi="宋体" w:cs="宋体"/>
          <w:color w:val="auto"/>
          <w:lang w:val="zh-CN" w:eastAsia="zh-CN"/>
        </w:rPr>
        <w:t>响应供应商</w:t>
      </w:r>
      <w:r>
        <w:rPr>
          <w:rFonts w:hint="eastAsia" w:ascii="宋体" w:hAnsi="宋体" w:eastAsia="宋体" w:cs="宋体"/>
          <w:color w:val="auto"/>
          <w:lang w:val="zh-CN" w:eastAsia="zh-CN"/>
        </w:rPr>
        <w:t>不得因此使采购人承担有关的责任和蒙受损失。</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bookmarkStart w:id="32" w:name="_Toc382926893"/>
      <w:bookmarkStart w:id="33" w:name="_Toc382840842"/>
      <w:r>
        <w:rPr>
          <w:rFonts w:hint="eastAsia" w:ascii="宋体" w:hAnsi="宋体" w:eastAsia="宋体" w:cs="宋体"/>
          <w:b/>
          <w:bCs/>
          <w:color w:val="auto"/>
          <w:lang w:val="zh-CN" w:eastAsia="zh-CN"/>
        </w:rPr>
        <w:t>三、谈判文件</w:t>
      </w:r>
      <w:bookmarkEnd w:id="32"/>
      <w:bookmarkEnd w:id="33"/>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谈判文件的构成</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）谈判文件包括：</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第一篇</w:t>
      </w:r>
      <w:r>
        <w:rPr>
          <w:rFonts w:hint="eastAsia" w:ascii="宋体" w:hAnsi="宋体" w:eastAsia="宋体" w:cs="宋体"/>
          <w:color w:val="auto"/>
          <w:lang w:val="zh-CN" w:eastAsia="zh-CN"/>
        </w:rPr>
        <w:tab/>
      </w:r>
      <w:r>
        <w:rPr>
          <w:rFonts w:hint="eastAsia" w:hAnsi="宋体" w:cs="宋体"/>
          <w:color w:val="auto"/>
          <w:lang w:val="zh-CN" w:eastAsia="zh-CN"/>
        </w:rPr>
        <w:t>谈判邀请</w:t>
      </w:r>
      <w:r>
        <w:rPr>
          <w:rFonts w:hint="eastAsia" w:ascii="宋体" w:hAnsi="宋体" w:eastAsia="宋体" w:cs="宋体"/>
          <w:color w:val="auto"/>
          <w:lang w:val="zh-CN" w:eastAsia="zh-CN"/>
        </w:rPr>
        <w:t>书</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第二篇</w:t>
      </w:r>
      <w:r>
        <w:rPr>
          <w:rFonts w:hint="eastAsia" w:ascii="宋体" w:hAnsi="宋体" w:eastAsia="宋体" w:cs="宋体"/>
          <w:color w:val="auto"/>
          <w:lang w:val="zh-CN" w:eastAsia="zh-CN"/>
        </w:rPr>
        <w:tab/>
      </w:r>
      <w:r>
        <w:rPr>
          <w:rFonts w:hint="eastAsia" w:hAnsi="宋体" w:cs="宋体"/>
          <w:color w:val="auto"/>
          <w:lang w:val="zh-CN" w:eastAsia="zh-CN"/>
        </w:rPr>
        <w:t>响应供应商</w:t>
      </w:r>
      <w:r>
        <w:rPr>
          <w:rFonts w:hint="eastAsia" w:ascii="宋体" w:hAnsi="宋体" w:eastAsia="宋体" w:cs="宋体"/>
          <w:color w:val="auto"/>
          <w:lang w:val="zh-CN" w:eastAsia="zh-CN"/>
        </w:rPr>
        <w:t>须知</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第三篇</w:t>
      </w:r>
      <w:r>
        <w:rPr>
          <w:rFonts w:hint="eastAsia" w:ascii="宋体" w:hAnsi="宋体" w:eastAsia="宋体" w:cs="宋体"/>
          <w:color w:val="auto"/>
          <w:lang w:val="zh-CN" w:eastAsia="zh-CN"/>
        </w:rPr>
        <w:tab/>
      </w:r>
      <w:r>
        <w:rPr>
          <w:rFonts w:hint="eastAsia" w:hAnsi="宋体" w:cs="宋体"/>
          <w:color w:val="auto"/>
          <w:lang w:val="zh-CN" w:eastAsia="zh-CN"/>
        </w:rPr>
        <w:t>用户需求书</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第四篇</w:t>
      </w:r>
      <w:r>
        <w:rPr>
          <w:rFonts w:hint="eastAsia" w:ascii="宋体" w:hAnsi="宋体" w:eastAsia="宋体" w:cs="宋体"/>
          <w:color w:val="auto"/>
          <w:lang w:val="zh-CN" w:eastAsia="zh-CN"/>
        </w:rPr>
        <w:tab/>
      </w:r>
      <w:r>
        <w:rPr>
          <w:rFonts w:hint="eastAsia" w:hAnsi="宋体" w:cs="宋体"/>
          <w:color w:val="auto"/>
          <w:lang w:val="zh-CN" w:eastAsia="zh-CN"/>
        </w:rPr>
        <w:t>评审大纲</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hAnsi="宋体" w:cs="宋体"/>
          <w:color w:val="auto"/>
          <w:lang w:val="zh-CN" w:eastAsia="zh-CN"/>
        </w:rPr>
        <w:t>第五篇</w:t>
      </w:r>
      <w:r>
        <w:rPr>
          <w:rFonts w:hint="eastAsia" w:hAnsi="宋体" w:cs="宋体"/>
          <w:color w:val="auto"/>
          <w:lang w:val="en-US" w:eastAsia="zh-CN"/>
        </w:rPr>
        <w:t xml:space="preserve"> </w:t>
      </w:r>
      <w:r>
        <w:rPr>
          <w:rFonts w:hint="eastAsia" w:ascii="宋体" w:hAnsi="宋体" w:eastAsia="宋体" w:cs="宋体"/>
          <w:color w:val="auto"/>
          <w:lang w:val="zh-CN" w:eastAsia="zh-CN"/>
        </w:rPr>
        <w:t>合同条款格式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w:t>
      </w:r>
      <w:r>
        <w:rPr>
          <w:rFonts w:hint="eastAsia" w:hAnsi="宋体" w:cs="宋体"/>
          <w:color w:val="auto"/>
          <w:lang w:val="zh-CN" w:eastAsia="zh-CN"/>
        </w:rPr>
        <w:t>六</w:t>
      </w:r>
      <w:r>
        <w:rPr>
          <w:rFonts w:hint="eastAsia" w:ascii="宋体" w:hAnsi="宋体" w:eastAsia="宋体" w:cs="宋体"/>
          <w:color w:val="auto"/>
          <w:lang w:val="zh-CN" w:eastAsia="zh-CN"/>
        </w:rPr>
        <w:t>篇</w:t>
      </w:r>
      <w:r>
        <w:rPr>
          <w:rFonts w:hint="eastAsia" w:ascii="宋体" w:hAnsi="宋体" w:eastAsia="宋体" w:cs="宋体"/>
          <w:color w:val="auto"/>
          <w:lang w:val="zh-CN" w:eastAsia="zh-CN"/>
        </w:rPr>
        <w:tab/>
      </w:r>
      <w:r>
        <w:rPr>
          <w:rFonts w:hint="eastAsia" w:hAnsi="宋体" w:cs="宋体"/>
          <w:color w:val="auto"/>
          <w:lang w:val="zh-CN" w:eastAsia="zh-CN"/>
        </w:rPr>
        <w:t>响应文件</w:t>
      </w:r>
      <w:r>
        <w:rPr>
          <w:rFonts w:hint="eastAsia" w:ascii="宋体" w:hAnsi="宋体" w:eastAsia="宋体" w:cs="宋体"/>
          <w:color w:val="auto"/>
          <w:lang w:val="zh-CN" w:eastAsia="zh-CN"/>
        </w:rPr>
        <w:t>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应认真阅读、并充分理解谈判文件的全部内容（包括所有的补充、修改内容、重要事项、格式、条款和技术规范、参数及要求等）。</w:t>
      </w:r>
      <w:r>
        <w:rPr>
          <w:rFonts w:hint="eastAsia" w:hAnsi="宋体" w:cs="宋体"/>
          <w:color w:val="auto"/>
          <w:lang w:val="zh-CN" w:eastAsia="zh-CN"/>
        </w:rPr>
        <w:t>响应供应商</w:t>
      </w:r>
      <w:r>
        <w:rPr>
          <w:rFonts w:hint="eastAsia" w:ascii="宋体" w:hAnsi="宋体" w:eastAsia="宋体" w:cs="宋体"/>
          <w:color w:val="auto"/>
          <w:lang w:val="zh-CN" w:eastAsia="zh-CN"/>
        </w:rPr>
        <w:t>没有按照谈判文件要求提交全部资料，或者</w:t>
      </w:r>
      <w:r>
        <w:rPr>
          <w:rFonts w:hint="eastAsia" w:hAnsi="宋体" w:cs="宋体"/>
          <w:color w:val="auto"/>
          <w:lang w:val="zh-CN" w:eastAsia="zh-CN"/>
        </w:rPr>
        <w:t>响应</w:t>
      </w:r>
      <w:r>
        <w:rPr>
          <w:rFonts w:hint="eastAsia" w:ascii="宋体" w:hAnsi="宋体" w:eastAsia="宋体" w:cs="宋体"/>
          <w:color w:val="auto"/>
          <w:lang w:val="zh-CN" w:eastAsia="zh-CN"/>
        </w:rPr>
        <w:t>报价没有对谈判文件在各方面都做出实质性响应是</w:t>
      </w:r>
      <w:r>
        <w:rPr>
          <w:rFonts w:hint="eastAsia" w:hAnsi="宋体" w:cs="宋体"/>
          <w:color w:val="auto"/>
          <w:lang w:val="zh-CN" w:eastAsia="zh-CN"/>
        </w:rPr>
        <w:t>响应供应商</w:t>
      </w:r>
      <w:r>
        <w:rPr>
          <w:rFonts w:hint="eastAsia" w:ascii="宋体" w:hAnsi="宋体" w:eastAsia="宋体" w:cs="宋体"/>
          <w:color w:val="auto"/>
          <w:lang w:val="zh-CN" w:eastAsia="zh-CN"/>
        </w:rPr>
        <w:t>的风险，有可能导致其</w:t>
      </w:r>
      <w:r>
        <w:rPr>
          <w:rFonts w:hint="eastAsia" w:hAnsi="宋体" w:cs="宋体"/>
          <w:color w:val="auto"/>
          <w:lang w:val="zh-CN" w:eastAsia="zh-CN"/>
        </w:rPr>
        <w:t>响应</w:t>
      </w:r>
      <w:r>
        <w:rPr>
          <w:rFonts w:hint="eastAsia" w:ascii="宋体" w:hAnsi="宋体" w:eastAsia="宋体" w:cs="宋体"/>
          <w:color w:val="auto"/>
          <w:lang w:val="zh-CN" w:eastAsia="zh-CN"/>
        </w:rPr>
        <w:t>报价被拒绝，或被认定为无效</w:t>
      </w:r>
      <w:r>
        <w:rPr>
          <w:rFonts w:hint="eastAsia" w:hAnsi="宋体" w:cs="宋体"/>
          <w:color w:val="auto"/>
          <w:lang w:val="zh-CN" w:eastAsia="zh-CN"/>
        </w:rPr>
        <w:t>响应</w:t>
      </w:r>
      <w:r>
        <w:rPr>
          <w:rFonts w:hint="eastAsia" w:ascii="宋体" w:hAnsi="宋体" w:eastAsia="宋体" w:cs="宋体"/>
          <w:color w:val="auto"/>
          <w:lang w:val="zh-CN" w:eastAsia="zh-CN"/>
        </w:rPr>
        <w:t>报价或被确定为</w:t>
      </w:r>
      <w:r>
        <w:rPr>
          <w:rFonts w:hint="eastAsia" w:hAnsi="宋体" w:cs="宋体"/>
          <w:color w:val="auto"/>
          <w:lang w:val="zh-CN" w:eastAsia="zh-CN"/>
        </w:rPr>
        <w:t>响应</w:t>
      </w:r>
      <w:r>
        <w:rPr>
          <w:rFonts w:hint="eastAsia" w:ascii="宋体" w:hAnsi="宋体" w:eastAsia="宋体" w:cs="宋体"/>
          <w:color w:val="auto"/>
          <w:lang w:val="zh-CN" w:eastAsia="zh-CN"/>
        </w:rPr>
        <w:t>报价无效。</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）知识产权</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hAnsi="宋体" w:cs="宋体"/>
          <w:color w:val="auto"/>
          <w:lang w:val="zh-CN" w:eastAsia="zh-CN"/>
        </w:rPr>
        <w:t>响应供应商</w:t>
      </w:r>
      <w:r>
        <w:rPr>
          <w:rFonts w:hint="eastAsia" w:ascii="宋体" w:hAnsi="宋体" w:eastAsia="宋体" w:cs="宋体"/>
          <w:color w:val="auto"/>
          <w:lang w:val="zh-CN" w:eastAsia="zh-CN"/>
        </w:rPr>
        <w:t>必须保证，采购人在中华人民共和国境内使用报价货物、资料、技术、服务或其任何一部分时，享有不受限制的无偿使用权，不会产生因第三方提出侵犯其专利权、商标权或其它知识产权而引起的法律或经济纠纷。如</w:t>
      </w:r>
      <w:r>
        <w:rPr>
          <w:rFonts w:hint="eastAsia" w:hAnsi="宋体" w:cs="宋体"/>
          <w:color w:val="auto"/>
          <w:lang w:val="zh-CN" w:eastAsia="zh-CN"/>
        </w:rPr>
        <w:t>响应供应商</w:t>
      </w:r>
      <w:r>
        <w:rPr>
          <w:rFonts w:hint="eastAsia" w:ascii="宋体" w:hAnsi="宋体" w:eastAsia="宋体" w:cs="宋体"/>
          <w:color w:val="auto"/>
          <w:lang w:val="zh-CN" w:eastAsia="zh-CN"/>
        </w:rPr>
        <w:t>不拥有相应的知识产权，则在报价中必须包括合法获取该知识产权的一切相关费用。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谈判文件的澄清</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对本谈判文件如有技术和商务的疑问，请按</w:t>
      </w:r>
      <w:r>
        <w:rPr>
          <w:rFonts w:hint="eastAsia" w:hAnsi="宋体" w:cs="宋体"/>
          <w:color w:val="auto"/>
          <w:lang w:val="zh-CN" w:eastAsia="zh-CN"/>
        </w:rPr>
        <w:t>谈判邀请</w:t>
      </w:r>
      <w:r>
        <w:rPr>
          <w:rFonts w:hint="eastAsia" w:ascii="宋体" w:hAnsi="宋体" w:eastAsia="宋体" w:cs="宋体"/>
          <w:color w:val="auto"/>
          <w:lang w:val="zh-CN" w:eastAsia="zh-CN"/>
        </w:rPr>
        <w:t>书中载明的地址以书面形式向采购代理机构提出澄清要求, 采购代理机构对在递交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日前收到的任何澄清要求以书面形式予以答复。超出上述截止时间提出的任何疑问，采购代理机构可不予答复。</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）根据需要，采购代理机构和采购人可组织相关专家在《报价须知前附表》规定的时间和地点召开答疑会，解答</w:t>
      </w:r>
      <w:r>
        <w:rPr>
          <w:rFonts w:hint="eastAsia" w:hAnsi="宋体" w:cs="宋体"/>
          <w:color w:val="auto"/>
          <w:lang w:val="zh-CN" w:eastAsia="zh-CN"/>
        </w:rPr>
        <w:t>响应供应商</w:t>
      </w:r>
      <w:r>
        <w:rPr>
          <w:rFonts w:hint="eastAsia" w:ascii="宋体" w:hAnsi="宋体" w:eastAsia="宋体" w:cs="宋体"/>
          <w:color w:val="auto"/>
          <w:lang w:val="zh-CN" w:eastAsia="zh-CN"/>
        </w:rPr>
        <w:t>在此之前以书面或当场提出的对谈判文件的澄清要求，随后以书面形式通知本谈判文件的所有收受人。答疑或澄清文件作为谈判文件的组成部分，如与谈判文件的内容不一致的，以答疑或澄清文件的内容为准。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在规定的时间内未对谈判文件澄清或提出疑问的，采购代理机构和采购人将视其为无异议。对谈判文件中描述有歧意或前后不一致的地方，谈判小组有权进行评判，但对同一条款的评判应适用于每个</w:t>
      </w:r>
      <w:r>
        <w:rPr>
          <w:rFonts w:hint="eastAsia" w:hAnsi="宋体" w:cs="宋体"/>
          <w:color w:val="auto"/>
          <w:lang w:val="zh-CN" w:eastAsia="zh-CN"/>
        </w:rPr>
        <w:t>响应供应商</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4</w:t>
      </w:r>
      <w:r>
        <w:rPr>
          <w:rFonts w:hint="eastAsia" w:ascii="宋体" w:hAnsi="宋体" w:eastAsia="宋体" w:cs="宋体"/>
          <w:color w:val="auto"/>
          <w:lang w:val="zh-CN" w:eastAsia="zh-CN"/>
        </w:rPr>
        <w:t>）谈判过程中的一切修改文件或补充文件一旦确认后与谈判文件具有同等法律效力，</w:t>
      </w:r>
      <w:r>
        <w:rPr>
          <w:rFonts w:hint="eastAsia" w:hAnsi="宋体" w:cs="宋体"/>
          <w:color w:val="auto"/>
          <w:lang w:val="zh-CN" w:eastAsia="zh-CN"/>
        </w:rPr>
        <w:t>响应供应商</w:t>
      </w:r>
      <w:r>
        <w:rPr>
          <w:rFonts w:hint="eastAsia" w:ascii="宋体" w:hAnsi="宋体" w:eastAsia="宋体" w:cs="宋体"/>
          <w:color w:val="auto"/>
          <w:lang w:val="zh-CN" w:eastAsia="zh-CN"/>
        </w:rPr>
        <w:t>有责任履行相应的义务。</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谈判文件的修改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）在递交</w:t>
      </w:r>
      <w:r>
        <w:rPr>
          <w:rFonts w:hint="eastAsia" w:hAnsi="宋体" w:cs="宋体"/>
          <w:color w:val="auto"/>
          <w:lang w:val="zh-CN" w:eastAsia="zh-CN"/>
        </w:rPr>
        <w:t>响应文件</w:t>
      </w:r>
      <w:r>
        <w:rPr>
          <w:rFonts w:hint="eastAsia" w:ascii="宋体" w:hAnsi="宋体" w:eastAsia="宋体" w:cs="宋体"/>
          <w:color w:val="auto"/>
          <w:lang w:val="zh-CN" w:eastAsia="zh-CN"/>
        </w:rPr>
        <w:t>截止日期前的任何时候，无论何故，采购代理机构可主动地或在答复</w:t>
      </w:r>
      <w:r>
        <w:rPr>
          <w:rFonts w:hint="eastAsia" w:hAnsi="宋体" w:cs="宋体"/>
          <w:color w:val="auto"/>
          <w:lang w:val="zh-CN" w:eastAsia="zh-CN"/>
        </w:rPr>
        <w:t>响应供应商</w:t>
      </w:r>
      <w:r>
        <w:rPr>
          <w:rFonts w:hint="eastAsia" w:ascii="宋体" w:hAnsi="宋体" w:eastAsia="宋体" w:cs="宋体"/>
          <w:color w:val="auto"/>
          <w:lang w:val="zh-CN" w:eastAsia="zh-CN"/>
        </w:rPr>
        <w:t>提出澄清的问题时对谈判文件进行修改。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）谈判文件的修改将以书面函件形式通知所有购买谈判文件的</w:t>
      </w:r>
      <w:r>
        <w:rPr>
          <w:rFonts w:hint="eastAsia" w:hAnsi="宋体" w:cs="宋体"/>
          <w:color w:val="auto"/>
          <w:lang w:val="zh-CN" w:eastAsia="zh-CN"/>
        </w:rPr>
        <w:t>响应供应商</w:t>
      </w:r>
      <w:r>
        <w:rPr>
          <w:rFonts w:hint="eastAsia" w:ascii="宋体" w:hAnsi="宋体" w:eastAsia="宋体" w:cs="宋体"/>
          <w:color w:val="auto"/>
          <w:lang w:val="zh-CN" w:eastAsia="zh-CN"/>
        </w:rPr>
        <w:t>，并对其具有约束力。</w:t>
      </w:r>
      <w:r>
        <w:rPr>
          <w:rFonts w:hint="eastAsia" w:hAnsi="宋体" w:cs="宋体"/>
          <w:color w:val="auto"/>
          <w:lang w:val="zh-CN" w:eastAsia="zh-CN"/>
        </w:rPr>
        <w:t>响应供应商</w:t>
      </w:r>
      <w:r>
        <w:rPr>
          <w:rFonts w:hint="eastAsia" w:ascii="宋体" w:hAnsi="宋体" w:eastAsia="宋体" w:cs="宋体"/>
          <w:color w:val="auto"/>
          <w:lang w:val="zh-CN" w:eastAsia="zh-CN"/>
        </w:rPr>
        <w:t>在收到上述通知后24小时内应立即以书面形式（应加盖公章）向采购代理机构确认，逾期不提交书面确认的，视为已确认。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）为使</w:t>
      </w:r>
      <w:r>
        <w:rPr>
          <w:rFonts w:hint="eastAsia" w:hAnsi="宋体" w:cs="宋体"/>
          <w:color w:val="auto"/>
          <w:lang w:val="zh-CN" w:eastAsia="zh-CN"/>
        </w:rPr>
        <w:t>响应供应商</w:t>
      </w:r>
      <w:r>
        <w:rPr>
          <w:rFonts w:hint="eastAsia" w:ascii="宋体" w:hAnsi="宋体" w:eastAsia="宋体" w:cs="宋体"/>
          <w:color w:val="auto"/>
          <w:lang w:val="zh-CN" w:eastAsia="zh-CN"/>
        </w:rPr>
        <w:t>在准备</w:t>
      </w:r>
      <w:r>
        <w:rPr>
          <w:rFonts w:hint="eastAsia" w:hAnsi="宋体" w:cs="宋体"/>
          <w:color w:val="auto"/>
          <w:lang w:val="zh-CN" w:eastAsia="zh-CN"/>
        </w:rPr>
        <w:t>响应文件</w:t>
      </w:r>
      <w:r>
        <w:rPr>
          <w:rFonts w:hint="eastAsia" w:ascii="宋体" w:hAnsi="宋体" w:eastAsia="宋体" w:cs="宋体"/>
          <w:color w:val="auto"/>
          <w:lang w:val="zh-CN" w:eastAsia="zh-CN"/>
        </w:rPr>
        <w:t>时有合理的时间考虑谈判文件的修改，采购代理机构可酌情推迟本项目递交</w:t>
      </w:r>
      <w:r>
        <w:rPr>
          <w:rFonts w:hint="eastAsia" w:hAnsi="宋体" w:cs="宋体"/>
          <w:color w:val="auto"/>
          <w:lang w:val="zh-CN" w:eastAsia="zh-CN"/>
        </w:rPr>
        <w:t>响应文件</w:t>
      </w:r>
      <w:r>
        <w:rPr>
          <w:rFonts w:hint="eastAsia" w:ascii="宋体" w:hAnsi="宋体" w:eastAsia="宋体" w:cs="宋体"/>
          <w:color w:val="auto"/>
          <w:lang w:val="zh-CN" w:eastAsia="zh-CN"/>
        </w:rPr>
        <w:t>截止日期，但应发布公告并书面通知所有购买谈判文件的潜在</w:t>
      </w:r>
      <w:r>
        <w:rPr>
          <w:rFonts w:hint="eastAsia" w:hAnsi="宋体" w:cs="宋体"/>
          <w:color w:val="auto"/>
          <w:lang w:val="zh-CN" w:eastAsia="zh-CN"/>
        </w:rPr>
        <w:t>响应供应商</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bookmarkStart w:id="34" w:name="_Toc382840843"/>
      <w:bookmarkStart w:id="35" w:name="_Toc382926894"/>
      <w:r>
        <w:rPr>
          <w:rFonts w:hint="eastAsia" w:ascii="宋体" w:hAnsi="宋体" w:eastAsia="宋体" w:cs="宋体"/>
          <w:b/>
          <w:bCs/>
          <w:color w:val="auto"/>
          <w:lang w:val="zh-CN" w:eastAsia="zh-CN"/>
        </w:rPr>
        <w:t>四、</w:t>
      </w:r>
      <w:r>
        <w:rPr>
          <w:rFonts w:hint="eastAsia" w:hAnsi="宋体" w:cs="宋体"/>
          <w:b/>
          <w:bCs/>
          <w:color w:val="auto"/>
          <w:lang w:val="zh-CN" w:eastAsia="zh-CN"/>
        </w:rPr>
        <w:t>响应文件</w:t>
      </w:r>
      <w:r>
        <w:rPr>
          <w:rFonts w:hint="eastAsia" w:ascii="宋体" w:hAnsi="宋体" w:eastAsia="宋体" w:cs="宋体"/>
          <w:b/>
          <w:bCs/>
          <w:color w:val="auto"/>
          <w:lang w:val="zh-CN" w:eastAsia="zh-CN"/>
        </w:rPr>
        <w:tab/>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hAnsi="宋体" w:cs="宋体"/>
          <w:color w:val="auto"/>
          <w:lang w:val="zh-CN" w:eastAsia="zh-CN"/>
        </w:rPr>
        <w:t>响应文件</w:t>
      </w:r>
      <w:r>
        <w:rPr>
          <w:rFonts w:hint="eastAsia" w:ascii="宋体" w:hAnsi="宋体" w:eastAsia="宋体" w:cs="宋体"/>
          <w:color w:val="auto"/>
          <w:lang w:val="zh-CN" w:eastAsia="zh-CN"/>
        </w:rPr>
        <w:t>的编制</w:t>
      </w:r>
      <w:bookmarkEnd w:id="34"/>
      <w:bookmarkEnd w:id="35"/>
      <w:r>
        <w:rPr>
          <w:rFonts w:hint="eastAsia" w:ascii="宋体" w:hAnsi="宋体" w:eastAsia="宋体" w:cs="宋体"/>
          <w:color w:val="auto"/>
          <w:lang w:val="zh-CN" w:eastAsia="zh-CN"/>
        </w:rPr>
        <w:t>要求</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hAnsi="宋体" w:cs="宋体"/>
          <w:color w:val="auto"/>
          <w:lang w:val="zh-CN" w:eastAsia="zh-CN"/>
        </w:rPr>
        <w:t>响应供应商</w:t>
      </w:r>
      <w:r>
        <w:rPr>
          <w:rFonts w:hint="eastAsia" w:ascii="宋体" w:hAnsi="宋体" w:eastAsia="宋体" w:cs="宋体"/>
          <w:color w:val="auto"/>
          <w:lang w:val="zh-CN" w:eastAsia="zh-CN"/>
        </w:rPr>
        <w:t>应仔细阅读谈判文件的所有内容，并按谈判文件的规定及附件要求的内容和格式，提交完整的</w:t>
      </w:r>
      <w:r>
        <w:rPr>
          <w:rFonts w:hint="eastAsia" w:hAnsi="宋体" w:cs="宋体"/>
          <w:color w:val="auto"/>
          <w:lang w:val="zh-CN" w:eastAsia="zh-CN"/>
        </w:rPr>
        <w:t>响应文件</w:t>
      </w:r>
      <w:r>
        <w:rPr>
          <w:rFonts w:hint="eastAsia" w:ascii="宋体" w:hAnsi="宋体" w:eastAsia="宋体" w:cs="宋体"/>
          <w:color w:val="auto"/>
          <w:lang w:val="zh-CN" w:eastAsia="zh-CN"/>
        </w:rPr>
        <w:t>，并保证所提供全部资料的真实性，所有不完整的报价将被拒绝。</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hAnsi="宋体" w:cs="宋体"/>
          <w:color w:val="auto"/>
          <w:lang w:val="zh-CN" w:eastAsia="zh-CN"/>
        </w:rPr>
        <w:t>响应文件</w:t>
      </w:r>
      <w:r>
        <w:rPr>
          <w:rFonts w:hint="eastAsia" w:ascii="宋体" w:hAnsi="宋体" w:eastAsia="宋体" w:cs="宋体"/>
          <w:color w:val="auto"/>
          <w:lang w:val="zh-CN" w:eastAsia="zh-CN"/>
        </w:rPr>
        <w:t>使用的度量衡单位采用中华人民共和国法定计量单位。</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hAnsi="宋体" w:cs="宋体"/>
          <w:color w:val="auto"/>
          <w:lang w:val="zh-CN" w:eastAsia="zh-CN"/>
        </w:rPr>
        <w:t>响应供应商</w:t>
      </w:r>
      <w:r>
        <w:rPr>
          <w:rFonts w:hint="eastAsia" w:ascii="宋体" w:hAnsi="宋体" w:eastAsia="宋体" w:cs="宋体"/>
          <w:color w:val="auto"/>
          <w:lang w:val="zh-CN" w:eastAsia="zh-CN"/>
        </w:rPr>
        <w:t>提交的</w:t>
      </w:r>
      <w:r>
        <w:rPr>
          <w:rFonts w:hint="eastAsia" w:hAnsi="宋体" w:cs="宋体"/>
          <w:color w:val="auto"/>
          <w:lang w:val="zh-CN" w:eastAsia="zh-CN"/>
        </w:rPr>
        <w:t>响应文件</w:t>
      </w:r>
      <w:r>
        <w:rPr>
          <w:rFonts w:hint="eastAsia" w:ascii="宋体" w:hAnsi="宋体" w:eastAsia="宋体" w:cs="宋体"/>
          <w:color w:val="auto"/>
          <w:lang w:val="zh-CN" w:eastAsia="zh-CN"/>
        </w:rPr>
        <w:t>以及</w:t>
      </w:r>
      <w:r>
        <w:rPr>
          <w:rFonts w:hint="eastAsia" w:hAnsi="宋体" w:cs="宋体"/>
          <w:color w:val="auto"/>
          <w:lang w:val="zh-CN" w:eastAsia="zh-CN"/>
        </w:rPr>
        <w:t>响应供应商</w:t>
      </w:r>
      <w:r>
        <w:rPr>
          <w:rFonts w:hint="eastAsia" w:ascii="宋体" w:hAnsi="宋体" w:eastAsia="宋体" w:cs="宋体"/>
          <w:color w:val="auto"/>
          <w:lang w:val="zh-CN" w:eastAsia="zh-CN"/>
        </w:rPr>
        <w:t>与采购代理机构就有关报价的所有来往函电均应使用中文。</w:t>
      </w:r>
      <w:r>
        <w:rPr>
          <w:rFonts w:hint="eastAsia" w:hAnsi="宋体" w:cs="宋体"/>
          <w:color w:val="auto"/>
          <w:lang w:val="zh-CN" w:eastAsia="zh-CN"/>
        </w:rPr>
        <w:t>响应供应商</w:t>
      </w:r>
      <w:r>
        <w:rPr>
          <w:rFonts w:hint="eastAsia" w:ascii="宋体" w:hAnsi="宋体" w:eastAsia="宋体" w:cs="宋体"/>
          <w:color w:val="auto"/>
          <w:lang w:val="zh-CN" w:eastAsia="zh-CN"/>
        </w:rPr>
        <w:t>提交的支持文件或印刷的资料可以用另一种语言，但相应内容应附有中文翻译本，对不同文字文本</w:t>
      </w:r>
      <w:r>
        <w:rPr>
          <w:rFonts w:hint="eastAsia" w:hAnsi="宋体" w:cs="宋体"/>
          <w:color w:val="auto"/>
          <w:lang w:val="zh-CN" w:eastAsia="zh-CN"/>
        </w:rPr>
        <w:t>响应文件</w:t>
      </w:r>
      <w:r>
        <w:rPr>
          <w:rFonts w:hint="eastAsia" w:ascii="宋体" w:hAnsi="宋体" w:eastAsia="宋体" w:cs="宋体"/>
          <w:color w:val="auto"/>
          <w:lang w:val="zh-CN" w:eastAsia="zh-CN"/>
        </w:rPr>
        <w:t>的解释发生异议的，以中文文本为准。对中文翻译有异议的，以权威机构的译本为准。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t>2.</w:t>
      </w:r>
      <w:r>
        <w:rPr>
          <w:rFonts w:hint="eastAsia" w:hAnsi="宋体" w:cs="宋体"/>
          <w:color w:val="auto"/>
          <w:lang w:val="en-US" w:eastAsia="zh-CN"/>
        </w:rPr>
        <w:t>响应文件</w:t>
      </w:r>
      <w:r>
        <w:rPr>
          <w:rFonts w:hint="eastAsia" w:ascii="宋体" w:hAnsi="宋体" w:eastAsia="宋体" w:cs="宋体"/>
          <w:color w:val="auto"/>
          <w:lang w:val="en-US" w:eastAsia="zh-CN"/>
        </w:rPr>
        <w:t>的响应</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w:t>
      </w:r>
      <w:r>
        <w:rPr>
          <w:rFonts w:hint="eastAsia" w:ascii="宋体" w:hAnsi="宋体" w:eastAsia="宋体" w:cs="宋体"/>
          <w:color w:val="auto"/>
          <w:lang w:val="zh-CN" w:eastAsia="zh-CN"/>
        </w:rPr>
        <w:t>供应商须对谈判文件的对应要求给予唯一的实质性响应，否则将视为不响应。</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）谈判文件中，如标有“★”的条款均为必须完全满足指标，</w:t>
      </w:r>
      <w:r>
        <w:rPr>
          <w:rFonts w:hint="eastAsia" w:hAnsi="宋体" w:cs="宋体"/>
          <w:color w:val="auto"/>
          <w:lang w:val="zh-CN" w:eastAsia="zh-CN"/>
        </w:rPr>
        <w:t>响应供应商</w:t>
      </w:r>
      <w:r>
        <w:rPr>
          <w:rFonts w:hint="eastAsia" w:ascii="宋体" w:hAnsi="宋体" w:eastAsia="宋体" w:cs="宋体"/>
          <w:color w:val="auto"/>
          <w:lang w:val="zh-CN" w:eastAsia="zh-CN"/>
        </w:rPr>
        <w:t>须进行实质性响应，</w:t>
      </w:r>
      <w:r>
        <w:rPr>
          <w:rFonts w:hint="eastAsia" w:hAnsi="宋体" w:cs="宋体"/>
          <w:color w:val="auto"/>
          <w:lang w:val="zh-CN" w:eastAsia="zh-CN"/>
        </w:rPr>
        <w:t>响应供应商</w:t>
      </w:r>
      <w:r>
        <w:rPr>
          <w:rFonts w:hint="eastAsia" w:ascii="宋体" w:hAnsi="宋体" w:eastAsia="宋体" w:cs="宋体"/>
          <w:color w:val="auto"/>
          <w:lang w:val="zh-CN" w:eastAsia="zh-CN"/>
        </w:rPr>
        <w:t>若有一项带“★”的条款未响应或不满足，将按无效</w:t>
      </w:r>
      <w:r>
        <w:rPr>
          <w:rFonts w:hint="eastAsia" w:hAnsi="宋体" w:cs="宋体"/>
          <w:color w:val="auto"/>
          <w:lang w:val="zh-CN" w:eastAsia="zh-CN"/>
        </w:rPr>
        <w:t>响应</w:t>
      </w:r>
      <w:r>
        <w:rPr>
          <w:rFonts w:hint="eastAsia" w:ascii="宋体" w:hAnsi="宋体" w:eastAsia="宋体" w:cs="宋体"/>
          <w:color w:val="auto"/>
          <w:lang w:val="zh-CN" w:eastAsia="zh-CN"/>
        </w:rPr>
        <w:t>报价处理。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）谈判文件中，如标有“▲”的条款均为评审的重要评分指标，</w:t>
      </w:r>
      <w:r>
        <w:rPr>
          <w:rFonts w:hint="eastAsia" w:hAnsi="宋体" w:cs="宋体"/>
          <w:color w:val="auto"/>
          <w:lang w:val="zh-CN" w:eastAsia="zh-CN"/>
        </w:rPr>
        <w:t>响应供应商</w:t>
      </w:r>
      <w:r>
        <w:rPr>
          <w:rFonts w:hint="eastAsia" w:ascii="宋体" w:hAnsi="宋体" w:eastAsia="宋体" w:cs="宋体"/>
          <w:color w:val="auto"/>
          <w:lang w:val="zh-CN" w:eastAsia="zh-CN"/>
        </w:rPr>
        <w:t>若有部分“▲”条款未响应或不满足，将导致其响应性评审严重扣分。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4</w:t>
      </w:r>
      <w:r>
        <w:rPr>
          <w:rFonts w:hint="eastAsia" w:ascii="宋体" w:hAnsi="宋体" w:eastAsia="宋体" w:cs="宋体"/>
          <w:color w:val="auto"/>
          <w:lang w:val="zh-CN" w:eastAsia="zh-CN"/>
        </w:rPr>
        <w:t>）</w:t>
      </w:r>
      <w:r>
        <w:rPr>
          <w:rFonts w:hint="eastAsia" w:hAnsi="宋体" w:cs="宋体"/>
          <w:color w:val="auto"/>
          <w:lang w:val="zh-CN" w:eastAsia="zh-CN"/>
        </w:rPr>
        <w:t>响应</w:t>
      </w:r>
      <w:r>
        <w:rPr>
          <w:rFonts w:hint="eastAsia" w:ascii="宋体" w:hAnsi="宋体" w:eastAsia="宋体" w:cs="宋体"/>
          <w:color w:val="auto"/>
          <w:lang w:val="zh-CN" w:eastAsia="zh-CN"/>
        </w:rPr>
        <w:t>供应商不得将同一个项目或同一个采购包的内容拆开响应，否则其响应将被视为非实质性响应。</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5</w:t>
      </w:r>
      <w:r>
        <w:rPr>
          <w:rFonts w:hint="eastAsia" w:ascii="宋体" w:hAnsi="宋体" w:eastAsia="宋体" w:cs="宋体"/>
          <w:color w:val="auto"/>
          <w:lang w:val="zh-CN" w:eastAsia="zh-CN"/>
        </w:rPr>
        <w:t>）如有对多个采购包响应的，要对每个采购包独立制作电子响应文件。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6</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应对报价内容提供完整的、详细的、清晰的技术说明，如</w:t>
      </w:r>
      <w:r>
        <w:rPr>
          <w:rFonts w:hint="eastAsia" w:hAnsi="宋体" w:cs="宋体"/>
          <w:color w:val="auto"/>
          <w:lang w:val="zh-CN" w:eastAsia="zh-CN"/>
        </w:rPr>
        <w:t>响应供应商</w:t>
      </w:r>
      <w:r>
        <w:rPr>
          <w:rFonts w:hint="eastAsia" w:ascii="宋体" w:hAnsi="宋体" w:eastAsia="宋体" w:cs="宋体"/>
          <w:color w:val="auto"/>
          <w:lang w:val="zh-CN" w:eastAsia="zh-CN"/>
        </w:rPr>
        <w:t>对指定的技术要求建议做任何改动，应在</w:t>
      </w:r>
      <w:r>
        <w:rPr>
          <w:rFonts w:hint="eastAsia" w:hAnsi="宋体" w:cs="宋体"/>
          <w:color w:val="auto"/>
          <w:lang w:val="zh-CN" w:eastAsia="zh-CN"/>
        </w:rPr>
        <w:t>响应文件</w:t>
      </w:r>
      <w:r>
        <w:rPr>
          <w:rFonts w:hint="eastAsia" w:ascii="宋体" w:hAnsi="宋体" w:eastAsia="宋体" w:cs="宋体"/>
          <w:color w:val="auto"/>
          <w:lang w:val="zh-CN" w:eastAsia="zh-CN"/>
        </w:rPr>
        <w:t>中清楚地注明；</w:t>
      </w:r>
      <w:r>
        <w:rPr>
          <w:rFonts w:hint="eastAsia" w:hAnsi="宋体" w:cs="宋体"/>
          <w:color w:val="auto"/>
          <w:lang w:val="zh-CN" w:eastAsia="zh-CN"/>
        </w:rPr>
        <w:t>响应供应商</w:t>
      </w:r>
      <w:r>
        <w:rPr>
          <w:rFonts w:hint="eastAsia" w:ascii="宋体" w:hAnsi="宋体" w:eastAsia="宋体" w:cs="宋体"/>
          <w:color w:val="auto"/>
          <w:lang w:val="zh-CN" w:eastAsia="zh-CN"/>
        </w:rPr>
        <w:t>对谈判文件的对应要求应当给予唯一的实质性响应，否则将视为不响应。</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7</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响应谈判需求应具体、明确，含糊不清、不确切，或伪造、变造证明材料的，按照不完全响应或完全不响应处理。构成提供虚假材料的，移送监管部门查处。</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8</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对谈判文件的商务合同不允许实质性偏离，否则将视为不响应。</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9</w:t>
      </w:r>
      <w:r>
        <w:rPr>
          <w:rFonts w:hint="eastAsia" w:ascii="宋体" w:hAnsi="宋体" w:eastAsia="宋体" w:cs="宋体"/>
          <w:color w:val="auto"/>
          <w:lang w:val="zh-CN" w:eastAsia="zh-CN"/>
        </w:rPr>
        <w:t>）资格文件视为</w:t>
      </w:r>
      <w:r>
        <w:rPr>
          <w:rFonts w:hint="eastAsia" w:hAnsi="宋体" w:cs="宋体"/>
          <w:color w:val="auto"/>
          <w:lang w:val="zh-CN" w:eastAsia="zh-CN"/>
        </w:rPr>
        <w:t>响应文件</w:t>
      </w:r>
      <w:r>
        <w:rPr>
          <w:rFonts w:hint="eastAsia" w:ascii="宋体" w:hAnsi="宋体" w:eastAsia="宋体" w:cs="宋体"/>
          <w:color w:val="auto"/>
          <w:lang w:val="zh-CN" w:eastAsia="zh-CN"/>
        </w:rPr>
        <w:t>不可分割的一部分，</w:t>
      </w:r>
      <w:r>
        <w:rPr>
          <w:rFonts w:hint="eastAsia" w:hAnsi="宋体" w:cs="宋体"/>
          <w:color w:val="auto"/>
          <w:lang w:val="zh-CN" w:eastAsia="zh-CN"/>
        </w:rPr>
        <w:t>响应供应商</w:t>
      </w:r>
      <w:r>
        <w:rPr>
          <w:rFonts w:hint="eastAsia" w:ascii="宋体" w:hAnsi="宋体" w:eastAsia="宋体" w:cs="宋体"/>
          <w:color w:val="auto"/>
          <w:lang w:val="zh-CN" w:eastAsia="zh-CN"/>
        </w:rPr>
        <w:t>应在报价截止时间前提供相关证件、证明文件的复印件和</w:t>
      </w:r>
      <w:r>
        <w:rPr>
          <w:rFonts w:hint="eastAsia" w:hAnsi="宋体" w:cs="宋体"/>
          <w:color w:val="auto"/>
          <w:lang w:val="zh-CN" w:eastAsia="zh-CN"/>
        </w:rPr>
        <w:t>响应文件</w:t>
      </w:r>
      <w:r>
        <w:rPr>
          <w:rFonts w:hint="eastAsia" w:ascii="宋体" w:hAnsi="宋体" w:eastAsia="宋体" w:cs="宋体"/>
          <w:color w:val="auto"/>
          <w:lang w:val="zh-CN" w:eastAsia="zh-CN"/>
        </w:rPr>
        <w:t>要求提交的原件，否则，谈判小组有权不予采信。</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10</w:t>
      </w:r>
      <w:r>
        <w:rPr>
          <w:rFonts w:hint="eastAsia" w:ascii="宋体" w:hAnsi="宋体" w:eastAsia="宋体" w:cs="宋体"/>
          <w:color w:val="auto"/>
          <w:lang w:val="zh-CN" w:eastAsia="zh-CN"/>
        </w:rPr>
        <w:t>）</w:t>
      </w:r>
      <w:r>
        <w:rPr>
          <w:rFonts w:hint="eastAsia" w:hAnsi="宋体" w:cs="宋体"/>
          <w:color w:val="auto"/>
          <w:lang w:val="zh-CN" w:eastAsia="zh-CN"/>
        </w:rPr>
        <w:t>响应文件</w:t>
      </w:r>
      <w:r>
        <w:rPr>
          <w:rFonts w:hint="eastAsia" w:ascii="宋体" w:hAnsi="宋体" w:eastAsia="宋体" w:cs="宋体"/>
          <w:color w:val="auto"/>
          <w:lang w:val="zh-CN" w:eastAsia="zh-CN"/>
        </w:rPr>
        <w:t>按规定加盖的</w:t>
      </w:r>
      <w:r>
        <w:rPr>
          <w:rFonts w:hint="eastAsia" w:hAnsi="宋体" w:cs="宋体"/>
          <w:color w:val="auto"/>
          <w:lang w:val="zh-CN" w:eastAsia="zh-CN"/>
        </w:rPr>
        <w:t>响应供应商</w:t>
      </w:r>
      <w:r>
        <w:rPr>
          <w:rFonts w:hint="eastAsia" w:ascii="宋体" w:hAnsi="宋体" w:eastAsia="宋体" w:cs="宋体"/>
          <w:color w:val="auto"/>
          <w:lang w:val="zh-CN" w:eastAsia="zh-CN"/>
        </w:rPr>
        <w:t>公章必须为企业法人公章，且与</w:t>
      </w:r>
      <w:r>
        <w:rPr>
          <w:rFonts w:hint="eastAsia" w:hAnsi="宋体" w:cs="宋体"/>
          <w:color w:val="auto"/>
          <w:lang w:val="zh-CN" w:eastAsia="zh-CN"/>
        </w:rPr>
        <w:t>响应供应商</w:t>
      </w:r>
      <w:r>
        <w:rPr>
          <w:rFonts w:hint="eastAsia" w:ascii="宋体" w:hAnsi="宋体" w:eastAsia="宋体" w:cs="宋体"/>
          <w:color w:val="auto"/>
          <w:lang w:val="zh-CN" w:eastAsia="zh-CN"/>
        </w:rPr>
        <w:t>名称一致，不能以其它业务章或附属机构章代替。需签名之处必须由当事人亲笔签署。</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hAnsi="宋体" w:cs="宋体"/>
          <w:color w:val="auto"/>
          <w:lang w:val="zh-CN" w:eastAsia="zh-CN"/>
        </w:rPr>
        <w:t>响应文件</w:t>
      </w:r>
      <w:r>
        <w:rPr>
          <w:rFonts w:hint="eastAsia" w:ascii="宋体" w:hAnsi="宋体" w:eastAsia="宋体" w:cs="宋体"/>
          <w:color w:val="auto"/>
          <w:lang w:val="zh-CN" w:eastAsia="zh-CN"/>
        </w:rPr>
        <w:t>的组成</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响应文件</w:t>
      </w:r>
      <w:r>
        <w:rPr>
          <w:rFonts w:hint="eastAsia" w:ascii="宋体" w:hAnsi="宋体" w:eastAsia="宋体" w:cs="宋体"/>
          <w:color w:val="auto"/>
          <w:lang w:val="zh-CN" w:eastAsia="zh-CN"/>
        </w:rPr>
        <w:t>由自查表、商务技术文件、经济文件组成，三部分合编成一本文件。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第一节</w:t>
      </w:r>
      <w:r>
        <w:rPr>
          <w:rFonts w:hint="eastAsia" w:ascii="宋体" w:hAnsi="宋体" w:eastAsia="宋体" w:cs="宋体"/>
          <w:color w:val="auto"/>
          <w:lang w:val="en-US" w:eastAsia="zh-CN"/>
        </w:rPr>
        <w:t xml:space="preserve">  </w:t>
      </w:r>
      <w:r>
        <w:rPr>
          <w:rFonts w:hint="eastAsia" w:ascii="宋体" w:hAnsi="宋体" w:eastAsia="宋体" w:cs="宋体"/>
          <w:color w:val="auto"/>
          <w:lang w:val="zh-CN" w:eastAsia="zh-CN"/>
        </w:rPr>
        <w:t>自查表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第二节</w:t>
      </w:r>
      <w:r>
        <w:rPr>
          <w:rFonts w:hint="eastAsia" w:ascii="宋体" w:hAnsi="宋体" w:eastAsia="宋体" w:cs="宋体"/>
          <w:color w:val="auto"/>
          <w:lang w:val="en-US" w:eastAsia="zh-CN"/>
        </w:rPr>
        <w:t xml:space="preserve">  </w:t>
      </w:r>
      <w:r>
        <w:rPr>
          <w:rFonts w:hint="eastAsia" w:ascii="宋体" w:hAnsi="宋体" w:eastAsia="宋体" w:cs="宋体"/>
          <w:color w:val="auto"/>
          <w:lang w:val="zh-CN" w:eastAsia="zh-CN"/>
        </w:rPr>
        <w:t>商务文件（格式见第五篇</w:t>
      </w:r>
      <w:r>
        <w:rPr>
          <w:rFonts w:hint="eastAsia" w:hAnsi="宋体" w:cs="宋体"/>
          <w:color w:val="auto"/>
          <w:lang w:val="zh-CN" w:eastAsia="zh-CN"/>
        </w:rPr>
        <w:t>响应文件</w:t>
      </w:r>
      <w:r>
        <w:rPr>
          <w:rFonts w:hint="eastAsia" w:ascii="宋体" w:hAnsi="宋体" w:eastAsia="宋体" w:cs="宋体"/>
          <w:color w:val="auto"/>
          <w:lang w:val="zh-CN" w:eastAsia="zh-CN"/>
        </w:rPr>
        <w:t>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第二节</w:t>
      </w:r>
      <w:r>
        <w:rPr>
          <w:rFonts w:hint="eastAsia" w:ascii="宋体" w:hAnsi="宋体" w:eastAsia="宋体" w:cs="宋体"/>
          <w:color w:val="auto"/>
          <w:lang w:val="en-US" w:eastAsia="zh-CN"/>
        </w:rPr>
        <w:t xml:space="preserve">  </w:t>
      </w:r>
      <w:r>
        <w:rPr>
          <w:rFonts w:hint="eastAsia" w:ascii="宋体" w:hAnsi="宋体" w:eastAsia="宋体" w:cs="宋体"/>
          <w:color w:val="auto"/>
          <w:lang w:val="zh-CN" w:eastAsia="zh-CN"/>
        </w:rPr>
        <w:t>技术文件（格式见第五篇</w:t>
      </w:r>
      <w:r>
        <w:rPr>
          <w:rFonts w:hint="eastAsia" w:hAnsi="宋体" w:cs="宋体"/>
          <w:color w:val="auto"/>
          <w:lang w:val="zh-CN" w:eastAsia="zh-CN"/>
        </w:rPr>
        <w:t>响应文件</w:t>
      </w:r>
      <w:r>
        <w:rPr>
          <w:rFonts w:hint="eastAsia" w:ascii="宋体" w:hAnsi="宋体" w:eastAsia="宋体" w:cs="宋体"/>
          <w:color w:val="auto"/>
          <w:lang w:val="zh-CN" w:eastAsia="zh-CN"/>
        </w:rPr>
        <w:t>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w:t>
      </w:r>
      <w:r>
        <w:rPr>
          <w:rFonts w:hint="eastAsia" w:hAnsi="宋体" w:cs="宋体"/>
          <w:color w:val="auto"/>
          <w:lang w:val="zh-CN" w:eastAsia="zh-CN"/>
        </w:rPr>
        <w:t>四</w:t>
      </w:r>
      <w:r>
        <w:rPr>
          <w:rFonts w:hint="eastAsia" w:ascii="宋体" w:hAnsi="宋体" w:eastAsia="宋体" w:cs="宋体"/>
          <w:color w:val="auto"/>
          <w:lang w:val="zh-CN" w:eastAsia="zh-CN"/>
        </w:rPr>
        <w:t>节</w:t>
      </w:r>
      <w:r>
        <w:rPr>
          <w:rFonts w:hint="eastAsia" w:ascii="宋体" w:hAnsi="宋体" w:eastAsia="宋体" w:cs="宋体"/>
          <w:color w:val="auto"/>
          <w:lang w:val="en-US" w:eastAsia="zh-CN"/>
        </w:rPr>
        <w:t xml:space="preserve">  </w:t>
      </w:r>
      <w:r>
        <w:rPr>
          <w:rFonts w:hint="eastAsia" w:ascii="宋体" w:hAnsi="宋体" w:eastAsia="宋体" w:cs="宋体"/>
          <w:color w:val="auto"/>
          <w:lang w:val="zh-CN" w:eastAsia="zh-CN"/>
        </w:rPr>
        <w:t>经济文件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第</w:t>
      </w:r>
      <w:r>
        <w:rPr>
          <w:rFonts w:hint="eastAsia" w:hAnsi="宋体" w:cs="宋体"/>
          <w:color w:val="auto"/>
          <w:lang w:val="zh-CN" w:eastAsia="zh-CN"/>
        </w:rPr>
        <w:t>五</w:t>
      </w:r>
      <w:r>
        <w:rPr>
          <w:rFonts w:hint="eastAsia" w:ascii="宋体" w:hAnsi="宋体" w:eastAsia="宋体" w:cs="宋体"/>
          <w:color w:val="auto"/>
          <w:lang w:val="zh-CN" w:eastAsia="zh-CN"/>
        </w:rPr>
        <w:t>节</w:t>
      </w:r>
      <w:r>
        <w:rPr>
          <w:rFonts w:hint="eastAsia" w:ascii="宋体" w:hAnsi="宋体" w:eastAsia="宋体" w:cs="宋体"/>
          <w:color w:val="auto"/>
          <w:lang w:val="en-US" w:eastAsia="zh-CN"/>
        </w:rPr>
        <w:t xml:space="preserve">  </w:t>
      </w:r>
      <w:r>
        <w:rPr>
          <w:rFonts w:hint="eastAsia" w:ascii="宋体" w:hAnsi="宋体" w:eastAsia="宋体" w:cs="宋体"/>
          <w:color w:val="auto"/>
          <w:lang w:val="zh-CN" w:eastAsia="zh-CN"/>
        </w:rPr>
        <w:t>其他</w:t>
      </w:r>
      <w:r>
        <w:rPr>
          <w:rFonts w:hint="eastAsia" w:hAnsi="宋体" w:cs="宋体"/>
          <w:color w:val="auto"/>
          <w:lang w:val="zh-CN" w:eastAsia="zh-CN"/>
        </w:rPr>
        <w:t>响应文件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唱标信封</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）报价函（加盖</w:t>
      </w:r>
      <w:r>
        <w:rPr>
          <w:rFonts w:hint="eastAsia" w:hAnsi="宋体" w:cs="宋体"/>
          <w:color w:val="auto"/>
          <w:lang w:val="zh-CN" w:eastAsia="zh-CN"/>
        </w:rPr>
        <w:t>响应供应商</w:t>
      </w:r>
      <w:r>
        <w:rPr>
          <w:rFonts w:hint="eastAsia" w:ascii="宋体" w:hAnsi="宋体" w:eastAsia="宋体" w:cs="宋体"/>
          <w:color w:val="auto"/>
          <w:lang w:val="zh-CN" w:eastAsia="zh-CN"/>
        </w:rPr>
        <w:t>法人公章）；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）投标报价总表（加盖</w:t>
      </w:r>
      <w:r>
        <w:rPr>
          <w:rFonts w:hint="eastAsia" w:hAnsi="宋体" w:cs="宋体"/>
          <w:color w:val="auto"/>
          <w:lang w:val="zh-CN" w:eastAsia="zh-CN"/>
        </w:rPr>
        <w:t>响应供应商</w:t>
      </w:r>
      <w:r>
        <w:rPr>
          <w:rFonts w:hint="eastAsia" w:ascii="宋体" w:hAnsi="宋体" w:eastAsia="宋体" w:cs="宋体"/>
          <w:color w:val="auto"/>
          <w:lang w:val="zh-CN" w:eastAsia="zh-CN"/>
        </w:rPr>
        <w:t>法人公章）；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）法定代表人证明书及法定代表人授权证明书（原件）；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）电子文件（含经济文件、商务技术文件, 其他</w:t>
      </w:r>
      <w:r>
        <w:rPr>
          <w:rFonts w:hint="eastAsia" w:hAnsi="宋体" w:cs="宋体"/>
          <w:color w:val="auto"/>
          <w:lang w:val="zh-CN" w:eastAsia="zh-CN"/>
        </w:rPr>
        <w:t>响应文件</w:t>
      </w:r>
      <w:r>
        <w:rPr>
          <w:rFonts w:hint="eastAsia" w:ascii="宋体" w:hAnsi="宋体" w:eastAsia="宋体" w:cs="宋体"/>
          <w:color w:val="auto"/>
          <w:lang w:val="zh-CN" w:eastAsia="zh-CN"/>
        </w:rPr>
        <w:t>采用CD－R光盘或U盘装载，其中经济部分需用MS office的excel格式提供。）</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hAnsi="宋体" w:cs="宋体"/>
          <w:color w:val="auto"/>
          <w:lang w:val="zh-CN" w:eastAsia="zh-CN"/>
        </w:rPr>
        <w:t>响应供应商</w:t>
      </w:r>
      <w:r>
        <w:rPr>
          <w:rFonts w:hint="eastAsia" w:ascii="宋体" w:hAnsi="宋体" w:eastAsia="宋体" w:cs="宋体"/>
          <w:color w:val="auto"/>
          <w:lang w:val="zh-CN" w:eastAsia="zh-CN"/>
        </w:rPr>
        <w:t>编制</w:t>
      </w:r>
      <w:r>
        <w:rPr>
          <w:rFonts w:hint="eastAsia" w:hAnsi="宋体" w:cs="宋体"/>
          <w:color w:val="auto"/>
          <w:lang w:val="zh-CN" w:eastAsia="zh-CN"/>
        </w:rPr>
        <w:t>响应文件</w:t>
      </w:r>
      <w:r>
        <w:rPr>
          <w:rFonts w:hint="eastAsia" w:ascii="宋体" w:hAnsi="宋体" w:eastAsia="宋体" w:cs="宋体"/>
          <w:color w:val="auto"/>
          <w:lang w:val="zh-CN" w:eastAsia="zh-CN"/>
        </w:rPr>
        <w:t>必须包括但不限于上述内容。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报价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）本次谈判必须对该项目的全部内容进行报价，少报漏报将导致其无效。</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报价总价是以</w:t>
      </w:r>
      <w:r>
        <w:rPr>
          <w:rFonts w:hint="eastAsia" w:hAnsi="宋体" w:cs="宋体"/>
          <w:color w:val="auto"/>
          <w:lang w:val="zh-CN" w:eastAsia="zh-CN"/>
        </w:rPr>
        <w:t>响应供应商</w:t>
      </w:r>
      <w:r>
        <w:rPr>
          <w:rFonts w:hint="eastAsia" w:ascii="宋体" w:hAnsi="宋体" w:eastAsia="宋体" w:cs="宋体"/>
          <w:color w:val="auto"/>
          <w:lang w:val="zh-CN" w:eastAsia="zh-CN"/>
        </w:rPr>
        <w:t>可独立完成本项目，并在通过准确核算后，可满足预期实施效果、验收标准和符合自身合法利益的前提下所作出的综合性合理最终含税报价，对在</w:t>
      </w:r>
      <w:r>
        <w:rPr>
          <w:rFonts w:hint="eastAsia" w:hAnsi="宋体" w:cs="宋体"/>
          <w:color w:val="auto"/>
          <w:lang w:val="zh-CN" w:eastAsia="zh-CN"/>
        </w:rPr>
        <w:t>响应文件</w:t>
      </w:r>
      <w:r>
        <w:rPr>
          <w:rFonts w:hint="eastAsia" w:ascii="宋体" w:hAnsi="宋体" w:eastAsia="宋体" w:cs="宋体"/>
          <w:color w:val="auto"/>
          <w:lang w:val="zh-CN" w:eastAsia="zh-CN"/>
        </w:rPr>
        <w:t>和合同书中未有明确列述、报价方案设计遗漏失误、市场剧变、汇率、利率因素和不可预见的费用等均视为已完全考虑到并包括在报价总价之内。</w:t>
      </w:r>
      <w:r>
        <w:rPr>
          <w:rFonts w:hint="eastAsia" w:hAnsi="宋体" w:cs="宋体"/>
          <w:color w:val="auto"/>
          <w:lang w:val="zh-CN" w:eastAsia="zh-CN"/>
        </w:rPr>
        <w:t>响应供应商</w:t>
      </w:r>
      <w:r>
        <w:rPr>
          <w:rFonts w:hint="eastAsia" w:ascii="宋体" w:hAnsi="宋体" w:eastAsia="宋体" w:cs="宋体"/>
          <w:color w:val="auto"/>
          <w:lang w:val="zh-CN" w:eastAsia="zh-CN"/>
        </w:rPr>
        <w:t>应自行增加项目正常、合法、安全运行及使用所必需但谈判文件没有列明或包含的内容及费用，并在</w:t>
      </w:r>
      <w:r>
        <w:rPr>
          <w:rFonts w:hint="eastAsia" w:hAnsi="宋体" w:cs="宋体"/>
          <w:color w:val="auto"/>
          <w:lang w:val="zh-CN" w:eastAsia="zh-CN"/>
        </w:rPr>
        <w:t>响应文件</w:t>
      </w:r>
      <w:r>
        <w:rPr>
          <w:rFonts w:hint="eastAsia" w:ascii="宋体" w:hAnsi="宋体" w:eastAsia="宋体" w:cs="宋体"/>
          <w:color w:val="auto"/>
          <w:lang w:val="zh-CN" w:eastAsia="zh-CN"/>
        </w:rPr>
        <w:t>中加以详细说明，如果</w:t>
      </w:r>
      <w:r>
        <w:rPr>
          <w:rFonts w:hint="eastAsia" w:hAnsi="宋体" w:cs="宋体"/>
          <w:color w:val="auto"/>
          <w:lang w:val="zh-CN" w:eastAsia="zh-CN"/>
        </w:rPr>
        <w:t>响应供应商</w:t>
      </w:r>
      <w:r>
        <w:rPr>
          <w:rFonts w:hint="eastAsia" w:ascii="宋体" w:hAnsi="宋体" w:eastAsia="宋体" w:cs="宋体"/>
          <w:color w:val="auto"/>
          <w:lang w:val="zh-CN" w:eastAsia="zh-CN"/>
        </w:rPr>
        <w:t>在成交并签署合同后，在提供谈判范围内的服务工作中出现的任何遗漏，均由成交供应商免费提供，采购人将不再支付任何费用。对超出常规、具有特别意义或会引起竞争非议的报价须作出特别说明。</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）报价不是唯一的或不是固定不变的</w:t>
      </w:r>
      <w:r>
        <w:rPr>
          <w:rFonts w:hint="eastAsia" w:hAnsi="宋体" w:cs="宋体"/>
          <w:color w:val="auto"/>
          <w:lang w:val="zh-CN" w:eastAsia="zh-CN"/>
        </w:rPr>
        <w:t>响应文件</w:t>
      </w:r>
      <w:r>
        <w:rPr>
          <w:rFonts w:hint="eastAsia" w:ascii="宋体" w:hAnsi="宋体" w:eastAsia="宋体" w:cs="宋体"/>
          <w:color w:val="auto"/>
          <w:lang w:val="zh-CN" w:eastAsia="zh-CN"/>
        </w:rPr>
        <w:t>将被作为非响应性报价而予以拒绝。</w:t>
      </w:r>
      <w:r>
        <w:rPr>
          <w:rFonts w:hint="eastAsia" w:hAnsi="宋体" w:cs="宋体"/>
          <w:color w:val="auto"/>
          <w:lang w:val="zh-CN" w:eastAsia="zh-CN"/>
        </w:rPr>
        <w:t>响应供应商</w:t>
      </w:r>
      <w:r>
        <w:rPr>
          <w:rFonts w:hint="eastAsia" w:ascii="宋体" w:hAnsi="宋体" w:eastAsia="宋体" w:cs="宋体"/>
          <w:color w:val="auto"/>
          <w:lang w:val="zh-CN" w:eastAsia="zh-CN"/>
        </w:rPr>
        <w:t>所报的报价在合同执行期间是固定不变的，</w:t>
      </w:r>
      <w:r>
        <w:rPr>
          <w:rFonts w:hint="eastAsia" w:hAnsi="宋体" w:cs="宋体"/>
          <w:color w:val="auto"/>
          <w:lang w:val="zh-CN" w:eastAsia="zh-CN"/>
        </w:rPr>
        <w:t>响应供应商</w:t>
      </w:r>
      <w:r>
        <w:rPr>
          <w:rFonts w:hint="eastAsia" w:ascii="宋体" w:hAnsi="宋体" w:eastAsia="宋体" w:cs="宋体"/>
          <w:color w:val="auto"/>
          <w:lang w:val="zh-CN" w:eastAsia="zh-CN"/>
        </w:rPr>
        <w:t>不得以任何理由予以变更。</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4</w:t>
      </w:r>
      <w:r>
        <w:rPr>
          <w:rFonts w:hint="eastAsia" w:ascii="宋体" w:hAnsi="宋体" w:eastAsia="宋体" w:cs="宋体"/>
          <w:color w:val="auto"/>
          <w:lang w:val="zh-CN" w:eastAsia="zh-CN"/>
        </w:rPr>
        <w:t>）合同项下，买方需要的货物（或服务）和附带备品、配件所需的费用，如果</w:t>
      </w:r>
      <w:r>
        <w:rPr>
          <w:rFonts w:hint="eastAsia" w:hAnsi="宋体" w:cs="宋体"/>
          <w:color w:val="auto"/>
          <w:lang w:val="zh-CN" w:eastAsia="zh-CN"/>
        </w:rPr>
        <w:t>响应供应商</w:t>
      </w:r>
      <w:r>
        <w:rPr>
          <w:rFonts w:hint="eastAsia" w:ascii="宋体" w:hAnsi="宋体" w:eastAsia="宋体" w:cs="宋体"/>
          <w:color w:val="auto"/>
          <w:lang w:val="zh-CN" w:eastAsia="zh-CN"/>
        </w:rPr>
        <w:t>是另外单独报价的，评分时计入报价总价。确定成交供应商后，在合同规定的承包范围内成交供应商不得以任何理由追加设备费用、辅材费用或其他费用。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5</w:t>
      </w:r>
      <w:r>
        <w:rPr>
          <w:rFonts w:hint="eastAsia" w:ascii="宋体" w:hAnsi="宋体" w:eastAsia="宋体" w:cs="宋体"/>
          <w:color w:val="auto"/>
          <w:lang w:val="zh-CN" w:eastAsia="zh-CN"/>
        </w:rPr>
        <w:t>）本次谈判实行“最高限价”制度。</w:t>
      </w:r>
      <w:r>
        <w:rPr>
          <w:rFonts w:hint="eastAsia" w:hAnsi="宋体" w:cs="宋体"/>
          <w:color w:val="auto"/>
          <w:lang w:val="zh-CN" w:eastAsia="zh-CN"/>
        </w:rPr>
        <w:t>响应供应商</w:t>
      </w:r>
      <w:r>
        <w:rPr>
          <w:rFonts w:hint="eastAsia" w:ascii="宋体" w:hAnsi="宋体" w:eastAsia="宋体" w:cs="宋体"/>
          <w:color w:val="auto"/>
          <w:lang w:val="zh-CN" w:eastAsia="zh-CN"/>
        </w:rPr>
        <w:t>的报价高于采购预算的，该</w:t>
      </w:r>
      <w:r>
        <w:rPr>
          <w:rFonts w:hint="eastAsia" w:hAnsi="宋体" w:cs="宋体"/>
          <w:color w:val="auto"/>
          <w:lang w:val="zh-CN" w:eastAsia="zh-CN"/>
        </w:rPr>
        <w:t>响应供应商</w:t>
      </w:r>
      <w:r>
        <w:rPr>
          <w:rFonts w:hint="eastAsia" w:ascii="宋体" w:hAnsi="宋体" w:eastAsia="宋体" w:cs="宋体"/>
          <w:color w:val="auto"/>
          <w:lang w:val="zh-CN" w:eastAsia="zh-CN"/>
        </w:rPr>
        <w:t>的</w:t>
      </w:r>
      <w:r>
        <w:rPr>
          <w:rFonts w:hint="eastAsia" w:hAnsi="宋体" w:cs="宋体"/>
          <w:color w:val="auto"/>
          <w:lang w:val="zh-CN" w:eastAsia="zh-CN"/>
        </w:rPr>
        <w:t>响应文件</w:t>
      </w:r>
      <w:r>
        <w:rPr>
          <w:rFonts w:hint="eastAsia" w:ascii="宋体" w:hAnsi="宋体" w:eastAsia="宋体" w:cs="宋体"/>
          <w:color w:val="auto"/>
          <w:lang w:val="zh-CN" w:eastAsia="zh-CN"/>
        </w:rPr>
        <w:t>将被视为非响应性报价予以废标。</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6</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必须以人民币报价，以其它货币标价的报价将予以拒绝。</w:t>
      </w:r>
      <w:r>
        <w:rPr>
          <w:rFonts w:hint="eastAsia" w:hAnsi="宋体" w:cs="宋体"/>
          <w:color w:val="auto"/>
          <w:lang w:val="zh-CN" w:eastAsia="zh-CN"/>
        </w:rPr>
        <w:t>响应文件</w:t>
      </w:r>
      <w:r>
        <w:rPr>
          <w:rFonts w:hint="eastAsia" w:ascii="宋体" w:hAnsi="宋体" w:eastAsia="宋体" w:cs="宋体"/>
          <w:color w:val="auto"/>
          <w:lang w:val="zh-CN" w:eastAsia="zh-CN"/>
        </w:rPr>
        <w:t>中开标一览表（报价表）内容与</w:t>
      </w:r>
      <w:r>
        <w:rPr>
          <w:rFonts w:hint="eastAsia" w:hAnsi="宋体" w:cs="宋体"/>
          <w:color w:val="auto"/>
          <w:lang w:val="zh-CN" w:eastAsia="zh-CN"/>
        </w:rPr>
        <w:t>响应文件</w:t>
      </w:r>
      <w:r>
        <w:rPr>
          <w:rFonts w:hint="eastAsia" w:ascii="宋体" w:hAnsi="宋体" w:eastAsia="宋体" w:cs="宋体"/>
          <w:color w:val="auto"/>
          <w:lang w:val="zh-CN" w:eastAsia="zh-CN"/>
        </w:rPr>
        <w:t>中相应内容不一致的，以开标一览表（报价表）为准；</w:t>
      </w:r>
      <w:r>
        <w:rPr>
          <w:rFonts w:hint="eastAsia" w:hAnsi="宋体" w:cs="宋体"/>
          <w:color w:val="auto"/>
          <w:lang w:val="zh-CN" w:eastAsia="zh-CN"/>
        </w:rPr>
        <w:t>响应文件</w:t>
      </w:r>
      <w:r>
        <w:rPr>
          <w:rFonts w:hint="eastAsia" w:ascii="宋体" w:hAnsi="宋体" w:eastAsia="宋体" w:cs="宋体"/>
          <w:color w:val="auto"/>
          <w:lang w:val="zh-CN" w:eastAsia="zh-CN"/>
        </w:rPr>
        <w:t>的大写金额和小写金额不一致的，以大写金额为准；总价金额与按单价汇总金额不一致的，以单价金额计算结果为准；单价金额小数点或者百分比有明显错位的，以开标一览表的总价为准，并修改单价。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5.</w:t>
      </w:r>
      <w:r>
        <w:rPr>
          <w:rFonts w:hint="eastAsia" w:ascii="宋体" w:hAnsi="宋体" w:eastAsia="宋体" w:cs="宋体"/>
          <w:color w:val="auto"/>
          <w:lang w:val="zh-CN" w:eastAsia="zh-CN"/>
        </w:rPr>
        <w:t>证明</w:t>
      </w:r>
      <w:r>
        <w:rPr>
          <w:rFonts w:hint="eastAsia" w:hAnsi="宋体" w:cs="宋体"/>
          <w:color w:val="auto"/>
          <w:lang w:val="zh-CN" w:eastAsia="zh-CN"/>
        </w:rPr>
        <w:t>响应供应商</w:t>
      </w:r>
      <w:r>
        <w:rPr>
          <w:rFonts w:hint="eastAsia" w:ascii="宋体" w:hAnsi="宋体" w:eastAsia="宋体" w:cs="宋体"/>
          <w:color w:val="auto"/>
          <w:lang w:val="zh-CN" w:eastAsia="zh-CN"/>
        </w:rPr>
        <w:t>的合格性的证明文件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）根据</w:t>
      </w:r>
      <w:r>
        <w:rPr>
          <w:rFonts w:hint="eastAsia" w:ascii="宋体" w:hAnsi="宋体" w:eastAsia="宋体" w:cs="宋体"/>
          <w:color w:val="auto"/>
          <w:lang w:val="zh-CN" w:eastAsia="zh-CN"/>
        </w:rPr>
        <w:fldChar w:fldCharType="begin"/>
      </w:r>
      <w:r>
        <w:rPr>
          <w:rFonts w:hint="eastAsia" w:ascii="宋体" w:hAnsi="宋体" w:eastAsia="宋体" w:cs="宋体"/>
          <w:color w:val="auto"/>
          <w:lang w:val="zh-CN" w:eastAsia="zh-CN"/>
        </w:rPr>
        <w:instrText xml:space="preserve"> HYPERLINK "file:///E:\\正在进行中\\项目正在进行中\\环保局3个项目\\1.生态环境主题日系统活动承包项目\\l" </w:instrText>
      </w:r>
      <w:r>
        <w:rPr>
          <w:rFonts w:hint="eastAsia" w:ascii="宋体" w:hAnsi="宋体" w:eastAsia="宋体" w:cs="宋体"/>
          <w:color w:val="auto"/>
          <w:lang w:val="zh-CN" w:eastAsia="zh-CN"/>
        </w:rPr>
        <w:fldChar w:fldCharType="separate"/>
      </w:r>
      <w:r>
        <w:rPr>
          <w:rFonts w:hint="eastAsia" w:ascii="宋体" w:hAnsi="宋体" w:eastAsia="宋体" w:cs="宋体"/>
          <w:color w:val="auto"/>
          <w:lang w:val="zh-CN" w:eastAsia="zh-CN"/>
        </w:rPr>
        <w:t>第13.2款</w:t>
      </w:r>
      <w:r>
        <w:rPr>
          <w:rFonts w:hint="eastAsia" w:ascii="宋体" w:hAnsi="宋体" w:eastAsia="宋体" w:cs="宋体"/>
          <w:color w:val="auto"/>
          <w:lang w:val="zh-CN" w:eastAsia="zh-CN"/>
        </w:rPr>
        <w:fldChar w:fldCharType="end"/>
      </w:r>
      <w:r>
        <w:rPr>
          <w:rFonts w:hint="eastAsia" w:ascii="宋体" w:hAnsi="宋体" w:eastAsia="宋体" w:cs="宋体"/>
          <w:color w:val="auto"/>
          <w:lang w:val="zh-CN" w:eastAsia="zh-CN"/>
        </w:rPr>
        <w:t>规定，</w:t>
      </w:r>
      <w:r>
        <w:rPr>
          <w:rFonts w:hint="eastAsia" w:hAnsi="宋体" w:cs="宋体"/>
          <w:color w:val="auto"/>
          <w:lang w:val="zh-CN" w:eastAsia="zh-CN"/>
        </w:rPr>
        <w:t>响应供应商</w:t>
      </w:r>
      <w:r>
        <w:rPr>
          <w:rFonts w:hint="eastAsia" w:ascii="宋体" w:hAnsi="宋体" w:eastAsia="宋体" w:cs="宋体"/>
          <w:color w:val="auto"/>
          <w:lang w:val="zh-CN" w:eastAsia="zh-CN"/>
        </w:rPr>
        <w:t>须提交证明其有资格进行报价和有能力履行合同的文件，作为</w:t>
      </w:r>
      <w:r>
        <w:rPr>
          <w:rFonts w:hint="eastAsia" w:hAnsi="宋体" w:cs="宋体"/>
          <w:color w:val="auto"/>
          <w:lang w:val="zh-CN" w:eastAsia="zh-CN"/>
        </w:rPr>
        <w:t>响应文件</w:t>
      </w:r>
      <w:r>
        <w:rPr>
          <w:rFonts w:hint="eastAsia" w:ascii="宋体" w:hAnsi="宋体" w:eastAsia="宋体" w:cs="宋体"/>
          <w:color w:val="auto"/>
          <w:lang w:val="zh-CN" w:eastAsia="zh-CN"/>
        </w:rPr>
        <w:t>的一部分。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提供的履行合同的资格证明文件：详见《报价须知前附表》。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6.</w:t>
      </w:r>
      <w:r>
        <w:rPr>
          <w:rFonts w:hint="eastAsia" w:ascii="宋体" w:hAnsi="宋体" w:eastAsia="宋体" w:cs="宋体"/>
          <w:color w:val="auto"/>
          <w:lang w:val="zh-CN" w:eastAsia="zh-CN"/>
        </w:rPr>
        <w:t>证明货物（或服务）的合格性并符合谈判文件规定的声明文件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须提交证明其所提供的货物（或服务）的合格性并符合谈判文件规定的声明文件，作为</w:t>
      </w:r>
      <w:r>
        <w:rPr>
          <w:rFonts w:hint="eastAsia" w:hAnsi="宋体" w:cs="宋体"/>
          <w:color w:val="auto"/>
          <w:lang w:val="zh-CN" w:eastAsia="zh-CN"/>
        </w:rPr>
        <w:t>响应文件</w:t>
      </w:r>
      <w:r>
        <w:rPr>
          <w:rFonts w:hint="eastAsia" w:ascii="宋体" w:hAnsi="宋体" w:eastAsia="宋体" w:cs="宋体"/>
          <w:color w:val="auto"/>
          <w:lang w:val="zh-CN" w:eastAsia="zh-CN"/>
        </w:rPr>
        <w:t>的一部分。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）证明货物（或服务）与谈判文件的要求相一致的文件可以是文字资料、图纸和数据资料。</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）为说明第14.1款的规定，</w:t>
      </w:r>
      <w:r>
        <w:rPr>
          <w:rFonts w:hint="eastAsia" w:hAnsi="宋体" w:cs="宋体"/>
          <w:color w:val="auto"/>
          <w:lang w:val="zh-CN" w:eastAsia="zh-CN"/>
        </w:rPr>
        <w:t>响应供应商</w:t>
      </w:r>
      <w:r>
        <w:rPr>
          <w:rFonts w:hint="eastAsia" w:ascii="宋体" w:hAnsi="宋体" w:eastAsia="宋体" w:cs="宋体"/>
          <w:color w:val="auto"/>
          <w:lang w:val="zh-CN" w:eastAsia="zh-CN"/>
        </w:rPr>
        <w:t>应注意本谈判文件在《用户需求书》中对货物（或服务）、技术要求所描述的特征或说明等仅系说明并非进行限制，</w:t>
      </w:r>
      <w:r>
        <w:rPr>
          <w:rFonts w:hint="eastAsia" w:hAnsi="宋体" w:cs="宋体"/>
          <w:color w:val="auto"/>
          <w:lang w:val="zh-CN" w:eastAsia="zh-CN"/>
        </w:rPr>
        <w:t>响应供应商</w:t>
      </w:r>
      <w:r>
        <w:rPr>
          <w:rFonts w:hint="eastAsia" w:ascii="宋体" w:hAnsi="宋体" w:eastAsia="宋体" w:cs="宋体"/>
          <w:color w:val="auto"/>
          <w:lang w:val="zh-CN" w:eastAsia="zh-CN"/>
        </w:rPr>
        <w:t>按行业技术和以往的经验，</w:t>
      </w:r>
      <w:r>
        <w:rPr>
          <w:rFonts w:hint="eastAsia" w:hAnsi="宋体" w:cs="宋体"/>
          <w:color w:val="auto"/>
          <w:lang w:val="zh-CN" w:eastAsia="zh-CN"/>
        </w:rPr>
        <w:t>响应供应商</w:t>
      </w:r>
      <w:r>
        <w:rPr>
          <w:rFonts w:hint="eastAsia" w:ascii="宋体" w:hAnsi="宋体" w:eastAsia="宋体" w:cs="宋体"/>
          <w:color w:val="auto"/>
          <w:lang w:val="zh-CN" w:eastAsia="zh-CN"/>
        </w:rPr>
        <w:t>可提出替代方案，但该替代方案应相当于或优胜于《用户需求书》中的规定，合格优质的完成谈判内容和包含的全部实际工序及货物（或服务），以使采购人满意。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7.</w:t>
      </w:r>
      <w:r>
        <w:rPr>
          <w:rFonts w:hint="eastAsia" w:hAnsi="宋体" w:cs="宋体"/>
          <w:color w:val="auto"/>
          <w:lang w:val="zh-CN" w:eastAsia="zh-CN"/>
        </w:rPr>
        <w:t>响应保证金（本项目不适用）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响应保证金</w:t>
      </w:r>
      <w:r>
        <w:rPr>
          <w:rFonts w:hint="eastAsia" w:ascii="宋体" w:hAnsi="宋体" w:eastAsia="宋体" w:cs="宋体"/>
          <w:color w:val="auto"/>
          <w:lang w:val="zh-CN" w:eastAsia="zh-CN"/>
        </w:rPr>
        <w:t>金额和缴纳方式：详见《报价须知前附表》。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w:t>
      </w:r>
      <w:r>
        <w:rPr>
          <w:rFonts w:hint="eastAsia" w:hAnsi="宋体" w:cs="宋体"/>
          <w:color w:val="auto"/>
          <w:lang w:val="zh-CN" w:eastAsia="zh-CN"/>
        </w:rPr>
        <w:t>响应保证金</w:t>
      </w:r>
      <w:r>
        <w:rPr>
          <w:rFonts w:hint="eastAsia" w:ascii="宋体" w:hAnsi="宋体" w:eastAsia="宋体" w:cs="宋体"/>
          <w:color w:val="auto"/>
          <w:lang w:val="zh-CN" w:eastAsia="zh-CN"/>
        </w:rPr>
        <w:t>是用于保护本次谈判免受</w:t>
      </w:r>
      <w:r>
        <w:rPr>
          <w:rFonts w:hint="eastAsia" w:hAnsi="宋体" w:cs="宋体"/>
          <w:color w:val="auto"/>
          <w:lang w:val="zh-CN" w:eastAsia="zh-CN"/>
        </w:rPr>
        <w:t>响应供应商</w:t>
      </w:r>
      <w:r>
        <w:rPr>
          <w:rFonts w:hint="eastAsia" w:ascii="宋体" w:hAnsi="宋体" w:eastAsia="宋体" w:cs="宋体"/>
          <w:color w:val="auto"/>
          <w:lang w:val="zh-CN" w:eastAsia="zh-CN"/>
        </w:rPr>
        <w:t>的行为而引起的风险，根据第15.7款规定，予以没收</w:t>
      </w:r>
      <w:r>
        <w:rPr>
          <w:rFonts w:hint="eastAsia" w:hAnsi="宋体" w:cs="宋体"/>
          <w:color w:val="auto"/>
          <w:lang w:val="zh-CN" w:eastAsia="zh-CN"/>
        </w:rPr>
        <w:t>响应保证金</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w:t>
      </w:r>
      <w:r>
        <w:rPr>
          <w:rFonts w:hint="eastAsia" w:hAnsi="宋体" w:cs="宋体"/>
          <w:color w:val="auto"/>
          <w:lang w:val="zh-CN" w:eastAsia="zh-CN"/>
        </w:rPr>
        <w:t>响应保证金</w:t>
      </w:r>
      <w:r>
        <w:rPr>
          <w:rFonts w:hint="eastAsia" w:ascii="宋体" w:hAnsi="宋体" w:eastAsia="宋体" w:cs="宋体"/>
          <w:color w:val="auto"/>
          <w:lang w:val="zh-CN" w:eastAsia="zh-CN"/>
        </w:rPr>
        <w:t>以银行转账、电汇等非现金方式（采购代理机构不接受以个人帐户、分支机构帐户转入保证金帐户的方式）提交，支付人必须为本项目</w:t>
      </w:r>
      <w:r>
        <w:rPr>
          <w:rFonts w:hint="eastAsia" w:hAnsi="宋体" w:cs="宋体"/>
          <w:color w:val="auto"/>
          <w:lang w:val="zh-CN" w:eastAsia="zh-CN"/>
        </w:rPr>
        <w:t>响应供应商</w:t>
      </w:r>
      <w:r>
        <w:rPr>
          <w:rFonts w:hint="eastAsia" w:ascii="宋体" w:hAnsi="宋体" w:eastAsia="宋体" w:cs="宋体"/>
          <w:color w:val="auto"/>
          <w:lang w:val="zh-CN" w:eastAsia="zh-CN"/>
        </w:rPr>
        <w:t>。若以银行转账、电汇方式提交时应在用途栏注明本项目项目编号+保证金，并且确保于《报价须知前附表》规定的保证金缴纳截止时间前到达指定的银行帐户（以银行到帐时间为准,汇错帐号作废标处理）。未按照上述方式提交</w:t>
      </w:r>
      <w:r>
        <w:rPr>
          <w:rFonts w:hint="eastAsia" w:hAnsi="宋体" w:cs="宋体"/>
          <w:color w:val="auto"/>
          <w:lang w:val="zh-CN" w:eastAsia="zh-CN"/>
        </w:rPr>
        <w:t>响应保证金</w:t>
      </w:r>
      <w:r>
        <w:rPr>
          <w:rFonts w:hint="eastAsia" w:ascii="宋体" w:hAnsi="宋体" w:eastAsia="宋体" w:cs="宋体"/>
          <w:color w:val="auto"/>
          <w:lang w:val="zh-CN" w:eastAsia="zh-CN"/>
        </w:rPr>
        <w:t>的，其</w:t>
      </w:r>
      <w:r>
        <w:rPr>
          <w:rFonts w:hint="eastAsia" w:hAnsi="宋体" w:cs="宋体"/>
          <w:color w:val="auto"/>
          <w:lang w:val="zh-CN" w:eastAsia="zh-CN"/>
        </w:rPr>
        <w:t>响应文件</w:t>
      </w:r>
      <w:r>
        <w:rPr>
          <w:rFonts w:hint="eastAsia" w:ascii="宋体" w:hAnsi="宋体" w:eastAsia="宋体" w:cs="宋体"/>
          <w:color w:val="auto"/>
          <w:lang w:val="zh-CN" w:eastAsia="zh-CN"/>
        </w:rPr>
        <w:t>将作为无效予以拒绝。</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4</w:t>
      </w:r>
      <w:r>
        <w:rPr>
          <w:rFonts w:hint="eastAsia" w:ascii="宋体" w:hAnsi="宋体" w:eastAsia="宋体" w:cs="宋体"/>
          <w:color w:val="auto"/>
          <w:lang w:val="zh-CN" w:eastAsia="zh-CN"/>
        </w:rPr>
        <w:t>）凡没有根据本须知的规定提交</w:t>
      </w:r>
      <w:r>
        <w:rPr>
          <w:rFonts w:hint="eastAsia" w:hAnsi="宋体" w:cs="宋体"/>
          <w:color w:val="auto"/>
          <w:lang w:val="zh-CN" w:eastAsia="zh-CN"/>
        </w:rPr>
        <w:t>响应保证金</w:t>
      </w:r>
      <w:r>
        <w:rPr>
          <w:rFonts w:hint="eastAsia" w:ascii="宋体" w:hAnsi="宋体" w:eastAsia="宋体" w:cs="宋体"/>
          <w:color w:val="auto"/>
          <w:lang w:val="zh-CN" w:eastAsia="zh-CN"/>
        </w:rPr>
        <w:t>的报价，将被视为非响应性报价予以拒绝。</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5</w:t>
      </w:r>
      <w:r>
        <w:rPr>
          <w:rFonts w:hint="eastAsia" w:ascii="宋体" w:hAnsi="宋体" w:eastAsia="宋体" w:cs="宋体"/>
          <w:color w:val="auto"/>
          <w:lang w:val="zh-CN" w:eastAsia="zh-CN"/>
        </w:rPr>
        <w:t>）</w:t>
      </w:r>
      <w:r>
        <w:rPr>
          <w:rFonts w:hint="eastAsia" w:hAnsi="宋体" w:cs="宋体"/>
          <w:color w:val="auto"/>
          <w:lang w:val="zh-CN" w:eastAsia="zh-CN"/>
        </w:rPr>
        <w:t>响应保证金</w:t>
      </w:r>
      <w:r>
        <w:rPr>
          <w:rFonts w:hint="eastAsia" w:ascii="宋体" w:hAnsi="宋体" w:eastAsia="宋体" w:cs="宋体"/>
          <w:color w:val="auto"/>
          <w:lang w:val="zh-CN" w:eastAsia="zh-CN"/>
        </w:rPr>
        <w:t>须由</w:t>
      </w:r>
      <w:r>
        <w:rPr>
          <w:rFonts w:hint="eastAsia" w:hAnsi="宋体" w:cs="宋体"/>
          <w:color w:val="auto"/>
          <w:lang w:val="zh-CN" w:eastAsia="zh-CN"/>
        </w:rPr>
        <w:t>响应供应商</w:t>
      </w:r>
      <w:r>
        <w:rPr>
          <w:rFonts w:hint="eastAsia" w:ascii="宋体" w:hAnsi="宋体" w:eastAsia="宋体" w:cs="宋体"/>
          <w:color w:val="auto"/>
          <w:lang w:val="zh-CN" w:eastAsia="zh-CN"/>
        </w:rPr>
        <w:t>基本户递交。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6</w:t>
      </w:r>
      <w:r>
        <w:rPr>
          <w:rFonts w:hint="eastAsia" w:ascii="宋体" w:hAnsi="宋体" w:eastAsia="宋体" w:cs="宋体"/>
          <w:color w:val="auto"/>
          <w:lang w:val="zh-CN" w:eastAsia="zh-CN"/>
        </w:rPr>
        <w:t>）未成交供应商的</w:t>
      </w:r>
      <w:r>
        <w:rPr>
          <w:rFonts w:hint="eastAsia" w:hAnsi="宋体" w:cs="宋体"/>
          <w:color w:val="auto"/>
          <w:lang w:val="zh-CN" w:eastAsia="zh-CN"/>
        </w:rPr>
        <w:t>响应保证金</w:t>
      </w:r>
      <w:r>
        <w:rPr>
          <w:rFonts w:hint="eastAsia" w:ascii="宋体" w:hAnsi="宋体" w:eastAsia="宋体" w:cs="宋体"/>
          <w:color w:val="auto"/>
          <w:lang w:val="zh-CN" w:eastAsia="zh-CN"/>
        </w:rPr>
        <w:t>，将按</w:t>
      </w:r>
      <w:r>
        <w:rPr>
          <w:rFonts w:hint="eastAsia" w:hAnsi="宋体" w:cs="宋体"/>
          <w:color w:val="auto"/>
          <w:lang w:val="zh-CN" w:eastAsia="zh-CN"/>
        </w:rPr>
        <w:t>响应供应商</w:t>
      </w:r>
      <w:r>
        <w:rPr>
          <w:rFonts w:hint="eastAsia" w:ascii="宋体" w:hAnsi="宋体" w:eastAsia="宋体" w:cs="宋体"/>
          <w:color w:val="auto"/>
          <w:lang w:val="zh-CN" w:eastAsia="zh-CN"/>
        </w:rPr>
        <w:t>须知规定的</w:t>
      </w:r>
      <w:r>
        <w:rPr>
          <w:rFonts w:hint="eastAsia" w:hAnsi="宋体" w:cs="宋体"/>
          <w:color w:val="auto"/>
          <w:lang w:val="zh-CN" w:eastAsia="zh-CN"/>
        </w:rPr>
        <w:t>响应有效期</w:t>
      </w:r>
      <w:r>
        <w:rPr>
          <w:rFonts w:hint="eastAsia" w:ascii="宋体" w:hAnsi="宋体" w:eastAsia="宋体" w:cs="宋体"/>
          <w:color w:val="auto"/>
          <w:lang w:val="zh-CN" w:eastAsia="zh-CN"/>
        </w:rPr>
        <w:t>满后三十天内或在发出《成交通知书》之日后五个工作日内原额退还（以先到的时间为准，保证金不计利息）。成交供应商的</w:t>
      </w:r>
      <w:r>
        <w:rPr>
          <w:rFonts w:hint="eastAsia" w:hAnsi="宋体" w:cs="宋体"/>
          <w:color w:val="auto"/>
          <w:lang w:val="zh-CN" w:eastAsia="zh-CN"/>
        </w:rPr>
        <w:t>响应保证金</w:t>
      </w:r>
      <w:r>
        <w:rPr>
          <w:rFonts w:hint="eastAsia" w:ascii="宋体" w:hAnsi="宋体" w:eastAsia="宋体" w:cs="宋体"/>
          <w:color w:val="auto"/>
          <w:lang w:val="zh-CN" w:eastAsia="zh-CN"/>
        </w:rPr>
        <w:t>的退还必须同时满足以下要求，并提供合同及成交服务费支付证明文件到采购代理机构办理退还手续（无息退还），成交供应商逾期办理的，采购代理机构不承担迟延退款责任。</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1) 成交供应商按本须知的规定签订了成交合同；</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2) 成交供应商按本须知的规定支付了成交服务费。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7</w:t>
      </w:r>
      <w:r>
        <w:rPr>
          <w:rFonts w:hint="eastAsia" w:ascii="宋体" w:hAnsi="宋体" w:eastAsia="宋体" w:cs="宋体"/>
          <w:color w:val="auto"/>
          <w:lang w:val="zh-CN" w:eastAsia="zh-CN"/>
        </w:rPr>
        <w:t>）下列任何一种情况发生时，</w:t>
      </w:r>
      <w:r>
        <w:rPr>
          <w:rFonts w:hint="eastAsia" w:hAnsi="宋体" w:cs="宋体"/>
          <w:color w:val="auto"/>
          <w:lang w:val="zh-CN" w:eastAsia="zh-CN"/>
        </w:rPr>
        <w:t>响应保证金</w:t>
      </w:r>
      <w:r>
        <w:rPr>
          <w:rFonts w:hint="eastAsia" w:ascii="宋体" w:hAnsi="宋体" w:eastAsia="宋体" w:cs="宋体"/>
          <w:color w:val="auto"/>
          <w:lang w:val="zh-CN" w:eastAsia="zh-CN"/>
        </w:rPr>
        <w:t>将被没收，因此而造成采购人的损失须由</w:t>
      </w:r>
      <w:r>
        <w:rPr>
          <w:rFonts w:hint="eastAsia" w:hAnsi="宋体" w:cs="宋体"/>
          <w:color w:val="auto"/>
          <w:lang w:val="zh-CN" w:eastAsia="zh-CN"/>
        </w:rPr>
        <w:t>响应供应商</w:t>
      </w:r>
      <w:r>
        <w:rPr>
          <w:rFonts w:hint="eastAsia" w:ascii="宋体" w:hAnsi="宋体" w:eastAsia="宋体" w:cs="宋体"/>
          <w:color w:val="auto"/>
          <w:lang w:val="zh-CN" w:eastAsia="zh-CN"/>
        </w:rPr>
        <w:t>承担：</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1) </w:t>
      </w:r>
      <w:r>
        <w:rPr>
          <w:rFonts w:hint="eastAsia" w:hAnsi="宋体" w:cs="宋体"/>
          <w:color w:val="auto"/>
          <w:lang w:val="zh-CN" w:eastAsia="zh-CN"/>
        </w:rPr>
        <w:t>响应供应商</w:t>
      </w:r>
      <w:r>
        <w:rPr>
          <w:rFonts w:hint="eastAsia" w:ascii="宋体" w:hAnsi="宋体" w:eastAsia="宋体" w:cs="宋体"/>
          <w:color w:val="auto"/>
          <w:lang w:val="zh-CN" w:eastAsia="zh-CN"/>
        </w:rPr>
        <w:t>在谈判文件规定的</w:t>
      </w:r>
      <w:r>
        <w:rPr>
          <w:rFonts w:hint="eastAsia" w:hAnsi="宋体" w:cs="宋体"/>
          <w:color w:val="auto"/>
          <w:lang w:val="zh-CN" w:eastAsia="zh-CN"/>
        </w:rPr>
        <w:t>响应有效期</w:t>
      </w:r>
      <w:r>
        <w:rPr>
          <w:rFonts w:hint="eastAsia" w:ascii="宋体" w:hAnsi="宋体" w:eastAsia="宋体" w:cs="宋体"/>
          <w:color w:val="auto"/>
          <w:lang w:val="zh-CN" w:eastAsia="zh-CN"/>
        </w:rPr>
        <w:t>内撤回其报价；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2) 成交供应商在规定期限内未能根据</w:t>
      </w:r>
      <w:r>
        <w:rPr>
          <w:rFonts w:hint="eastAsia" w:hAnsi="宋体" w:cs="宋体"/>
          <w:color w:val="auto"/>
          <w:lang w:val="zh-CN" w:eastAsia="zh-CN"/>
        </w:rPr>
        <w:t>响应供应商</w:t>
      </w:r>
      <w:r>
        <w:rPr>
          <w:rFonts w:hint="eastAsia" w:ascii="宋体" w:hAnsi="宋体" w:eastAsia="宋体" w:cs="宋体"/>
          <w:color w:val="auto"/>
          <w:lang w:val="zh-CN" w:eastAsia="zh-CN"/>
        </w:rPr>
        <w:t>须知的规定签订合同；</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3) 成交后未按谈判文件中的规定缴付成交服务费；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4) 有违反国家有关法律法规的行为。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8.</w:t>
      </w:r>
      <w:r>
        <w:rPr>
          <w:rFonts w:hint="eastAsia" w:hAnsi="宋体" w:cs="宋体"/>
          <w:color w:val="auto"/>
          <w:lang w:val="zh-CN" w:eastAsia="zh-CN"/>
        </w:rPr>
        <w:t>响应有效期</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响应文件</w:t>
      </w:r>
      <w:r>
        <w:rPr>
          <w:rFonts w:hint="eastAsia" w:ascii="宋体" w:hAnsi="宋体" w:eastAsia="宋体" w:cs="宋体"/>
          <w:color w:val="auto"/>
          <w:lang w:val="zh-CN" w:eastAsia="zh-CN"/>
        </w:rPr>
        <w:t>应在《报价须知前附表》规定的时间内保持有效。</w:t>
      </w:r>
      <w:r>
        <w:rPr>
          <w:rFonts w:hint="eastAsia" w:hAnsi="宋体" w:cs="宋体"/>
          <w:color w:val="auto"/>
          <w:lang w:val="zh-CN" w:eastAsia="zh-CN"/>
        </w:rPr>
        <w:t>响应有效期</w:t>
      </w:r>
      <w:r>
        <w:rPr>
          <w:rFonts w:hint="eastAsia" w:ascii="宋体" w:hAnsi="宋体" w:eastAsia="宋体" w:cs="宋体"/>
          <w:color w:val="auto"/>
          <w:lang w:val="zh-CN" w:eastAsia="zh-CN"/>
        </w:rPr>
        <w:t>比规定时间短的将被视为非响应性报价而予以拒绝。</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）成交供应商的</w:t>
      </w:r>
      <w:r>
        <w:rPr>
          <w:rFonts w:hint="eastAsia" w:hAnsi="宋体" w:cs="宋体"/>
          <w:color w:val="auto"/>
          <w:lang w:val="zh-CN" w:eastAsia="zh-CN"/>
        </w:rPr>
        <w:t>响应文件</w:t>
      </w:r>
      <w:r>
        <w:rPr>
          <w:rFonts w:hint="eastAsia" w:ascii="宋体" w:hAnsi="宋体" w:eastAsia="宋体" w:cs="宋体"/>
          <w:color w:val="auto"/>
          <w:lang w:val="zh-CN" w:eastAsia="zh-CN"/>
        </w:rPr>
        <w:t>作为合同附件，合同失效时同时失效。</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）在特殊情况下，采购代理机构可于</w:t>
      </w:r>
      <w:r>
        <w:rPr>
          <w:rFonts w:hint="eastAsia" w:hAnsi="宋体" w:cs="宋体"/>
          <w:color w:val="auto"/>
          <w:lang w:val="zh-CN" w:eastAsia="zh-CN"/>
        </w:rPr>
        <w:t>响应有效期</w:t>
      </w:r>
      <w:r>
        <w:rPr>
          <w:rFonts w:hint="eastAsia" w:ascii="宋体" w:hAnsi="宋体" w:eastAsia="宋体" w:cs="宋体"/>
          <w:color w:val="auto"/>
          <w:lang w:val="zh-CN" w:eastAsia="zh-CN"/>
        </w:rPr>
        <w:t>满之前要求</w:t>
      </w:r>
      <w:r>
        <w:rPr>
          <w:rFonts w:hint="eastAsia" w:hAnsi="宋体" w:cs="宋体"/>
          <w:color w:val="auto"/>
          <w:lang w:val="zh-CN" w:eastAsia="zh-CN"/>
        </w:rPr>
        <w:t>响应供应商</w:t>
      </w:r>
      <w:r>
        <w:rPr>
          <w:rFonts w:hint="eastAsia" w:ascii="宋体" w:hAnsi="宋体" w:eastAsia="宋体" w:cs="宋体"/>
          <w:color w:val="auto"/>
          <w:lang w:val="zh-CN" w:eastAsia="zh-CN"/>
        </w:rPr>
        <w:t>同意延长有效期。要求与答复均应为书面形式往来。</w:t>
      </w:r>
      <w:r>
        <w:rPr>
          <w:rFonts w:hint="eastAsia" w:hAnsi="宋体" w:cs="宋体"/>
          <w:color w:val="auto"/>
          <w:lang w:val="zh-CN" w:eastAsia="zh-CN"/>
        </w:rPr>
        <w:t>响应供应商</w:t>
      </w:r>
      <w:r>
        <w:rPr>
          <w:rFonts w:hint="eastAsia" w:ascii="宋体" w:hAnsi="宋体" w:eastAsia="宋体" w:cs="宋体"/>
          <w:color w:val="auto"/>
          <w:lang w:val="zh-CN" w:eastAsia="zh-CN"/>
        </w:rPr>
        <w:t>可以拒绝上述要求而其</w:t>
      </w:r>
      <w:r>
        <w:rPr>
          <w:rFonts w:hint="eastAsia" w:hAnsi="宋体" w:cs="宋体"/>
          <w:color w:val="auto"/>
          <w:lang w:val="zh-CN" w:eastAsia="zh-CN"/>
        </w:rPr>
        <w:t>响应保证金</w:t>
      </w:r>
      <w:r>
        <w:rPr>
          <w:rFonts w:hint="eastAsia" w:ascii="宋体" w:hAnsi="宋体" w:eastAsia="宋体" w:cs="宋体"/>
          <w:color w:val="auto"/>
          <w:lang w:val="zh-CN" w:eastAsia="zh-CN"/>
        </w:rPr>
        <w:t>不被没收。对于同意该要求的</w:t>
      </w:r>
      <w:r>
        <w:rPr>
          <w:rFonts w:hint="eastAsia" w:hAnsi="宋体" w:cs="宋体"/>
          <w:color w:val="auto"/>
          <w:lang w:val="zh-CN" w:eastAsia="zh-CN"/>
        </w:rPr>
        <w:t>响应供应商</w:t>
      </w:r>
      <w:r>
        <w:rPr>
          <w:rFonts w:hint="eastAsia" w:ascii="宋体" w:hAnsi="宋体" w:eastAsia="宋体" w:cs="宋体"/>
          <w:color w:val="auto"/>
          <w:lang w:val="zh-CN" w:eastAsia="zh-CN"/>
        </w:rPr>
        <w:t>，既不要求也不允许其修改</w:t>
      </w:r>
      <w:r>
        <w:rPr>
          <w:rFonts w:hint="eastAsia" w:hAnsi="宋体" w:cs="宋体"/>
          <w:color w:val="auto"/>
          <w:lang w:val="zh-CN" w:eastAsia="zh-CN"/>
        </w:rPr>
        <w:t>响应文件</w:t>
      </w:r>
      <w:r>
        <w:rPr>
          <w:rFonts w:hint="eastAsia" w:ascii="宋体" w:hAnsi="宋体" w:eastAsia="宋体" w:cs="宋体"/>
          <w:color w:val="auto"/>
          <w:lang w:val="zh-CN" w:eastAsia="zh-CN"/>
        </w:rPr>
        <w:t>，但将要求其相应延长</w:t>
      </w:r>
      <w:r>
        <w:rPr>
          <w:rFonts w:hint="eastAsia" w:hAnsi="宋体" w:cs="宋体"/>
          <w:color w:val="auto"/>
          <w:lang w:val="zh-CN" w:eastAsia="zh-CN"/>
        </w:rPr>
        <w:t>响应保证金</w:t>
      </w:r>
      <w:r>
        <w:rPr>
          <w:rFonts w:hint="eastAsia" w:ascii="宋体" w:hAnsi="宋体" w:eastAsia="宋体" w:cs="宋体"/>
          <w:color w:val="auto"/>
          <w:lang w:val="zh-CN" w:eastAsia="zh-CN"/>
        </w:rPr>
        <w:t>的有效期。第15款</w:t>
      </w:r>
      <w:r>
        <w:rPr>
          <w:rFonts w:hint="eastAsia" w:hAnsi="宋体" w:cs="宋体"/>
          <w:color w:val="auto"/>
          <w:lang w:val="zh-CN" w:eastAsia="zh-CN"/>
        </w:rPr>
        <w:t>响应保证金</w:t>
      </w:r>
      <w:r>
        <w:rPr>
          <w:rFonts w:hint="eastAsia" w:ascii="宋体" w:hAnsi="宋体" w:eastAsia="宋体" w:cs="宋体"/>
          <w:color w:val="auto"/>
          <w:lang w:val="zh-CN" w:eastAsia="zh-CN"/>
        </w:rPr>
        <w:t>的有关规定在</w:t>
      </w:r>
      <w:r>
        <w:rPr>
          <w:rFonts w:hint="eastAsia" w:hAnsi="宋体" w:cs="宋体"/>
          <w:color w:val="auto"/>
          <w:lang w:val="zh-CN" w:eastAsia="zh-CN"/>
        </w:rPr>
        <w:t>响应保证金</w:t>
      </w:r>
      <w:r>
        <w:rPr>
          <w:rFonts w:hint="eastAsia" w:ascii="宋体" w:hAnsi="宋体" w:eastAsia="宋体" w:cs="宋体"/>
          <w:color w:val="auto"/>
          <w:lang w:val="zh-CN" w:eastAsia="zh-CN"/>
        </w:rPr>
        <w:t>延长期内仍适用。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9.</w:t>
      </w:r>
      <w:r>
        <w:rPr>
          <w:rFonts w:hint="eastAsia" w:hAnsi="宋体" w:cs="宋体"/>
          <w:color w:val="auto"/>
          <w:lang w:val="zh-CN" w:eastAsia="zh-CN"/>
        </w:rPr>
        <w:t>响应文件</w:t>
      </w:r>
      <w:r>
        <w:rPr>
          <w:rFonts w:hint="eastAsia" w:ascii="宋体" w:hAnsi="宋体" w:eastAsia="宋体" w:cs="宋体"/>
          <w:color w:val="auto"/>
          <w:lang w:val="zh-CN" w:eastAsia="zh-CN"/>
        </w:rPr>
        <w:t>的式样和签署</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应准备</w:t>
      </w:r>
      <w:r>
        <w:rPr>
          <w:rFonts w:hint="eastAsia" w:hAnsi="宋体" w:cs="宋体"/>
          <w:color w:val="auto"/>
          <w:lang w:val="zh-CN" w:eastAsia="zh-CN"/>
        </w:rPr>
        <w:t>响应文件</w:t>
      </w:r>
      <w:r>
        <w:rPr>
          <w:rFonts w:hint="eastAsia" w:ascii="宋体" w:hAnsi="宋体" w:eastAsia="宋体" w:cs="宋体"/>
          <w:color w:val="auto"/>
          <w:lang w:val="zh-CN" w:eastAsia="zh-CN"/>
        </w:rPr>
        <w:t>一份正本和《报价须知前附表》规定的副本份数，逐页编码，不得漏页，并装订成册（不允许使用活页夹），并要在右上角明确注明 “正本”或“副本”字样，一旦正本和副本发现差异，以正本为准。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w:t>
      </w:r>
      <w:r>
        <w:rPr>
          <w:rFonts w:hint="eastAsia" w:hAnsi="宋体" w:cs="宋体"/>
          <w:color w:val="auto"/>
          <w:lang w:val="zh-CN" w:eastAsia="zh-CN"/>
        </w:rPr>
        <w:t>响应文件</w:t>
      </w:r>
      <w:r>
        <w:rPr>
          <w:rFonts w:hint="eastAsia" w:ascii="宋体" w:hAnsi="宋体" w:eastAsia="宋体" w:cs="宋体"/>
          <w:color w:val="auto"/>
          <w:lang w:val="zh-CN" w:eastAsia="zh-CN"/>
        </w:rPr>
        <w:t>正本和副本须打印或用不褪色墨水书写，由</w:t>
      </w:r>
      <w:r>
        <w:rPr>
          <w:rFonts w:hint="eastAsia" w:hAnsi="宋体" w:cs="宋体"/>
          <w:color w:val="auto"/>
          <w:lang w:val="zh-CN" w:eastAsia="zh-CN"/>
        </w:rPr>
        <w:t>响应供应商</w:t>
      </w:r>
      <w:r>
        <w:rPr>
          <w:rFonts w:hint="eastAsia" w:ascii="宋体" w:hAnsi="宋体" w:eastAsia="宋体" w:cs="宋体"/>
          <w:color w:val="auto"/>
          <w:lang w:val="zh-CN" w:eastAsia="zh-CN"/>
        </w:rPr>
        <w:t>法定代表人或其授权代表签字，后者须将“法定代表人授权委托证明书”以书面形式附在</w:t>
      </w:r>
      <w:r>
        <w:rPr>
          <w:rFonts w:hint="eastAsia" w:hAnsi="宋体" w:cs="宋体"/>
          <w:color w:val="auto"/>
          <w:lang w:val="zh-CN" w:eastAsia="zh-CN"/>
        </w:rPr>
        <w:t>响应文件</w:t>
      </w:r>
      <w:r>
        <w:rPr>
          <w:rFonts w:hint="eastAsia" w:ascii="宋体" w:hAnsi="宋体" w:eastAsia="宋体" w:cs="宋体"/>
          <w:color w:val="auto"/>
          <w:lang w:val="zh-CN" w:eastAsia="zh-CN"/>
        </w:rPr>
        <w:t>中。副本文件可由正本文件复印而成。</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w:t>
      </w:r>
      <w:r>
        <w:rPr>
          <w:rFonts w:hint="eastAsia" w:hAnsi="宋体" w:cs="宋体"/>
          <w:color w:val="auto"/>
          <w:lang w:val="zh-CN" w:eastAsia="zh-CN"/>
        </w:rPr>
        <w:t>响应文件</w:t>
      </w:r>
      <w:r>
        <w:rPr>
          <w:rFonts w:hint="eastAsia" w:ascii="宋体" w:hAnsi="宋体" w:eastAsia="宋体" w:cs="宋体"/>
          <w:color w:val="auto"/>
          <w:lang w:val="zh-CN" w:eastAsia="zh-CN"/>
        </w:rPr>
        <w:t>须由</w:t>
      </w:r>
      <w:r>
        <w:rPr>
          <w:rFonts w:hint="eastAsia" w:hAnsi="宋体" w:cs="宋体"/>
          <w:color w:val="auto"/>
          <w:lang w:val="zh-CN" w:eastAsia="zh-CN"/>
        </w:rPr>
        <w:t>响应供应商</w:t>
      </w:r>
      <w:r>
        <w:rPr>
          <w:rFonts w:hint="eastAsia" w:ascii="宋体" w:hAnsi="宋体" w:eastAsia="宋体" w:cs="宋体"/>
          <w:color w:val="auto"/>
          <w:lang w:val="zh-CN" w:eastAsia="zh-CN"/>
        </w:rPr>
        <w:t>的合法授权代表正式签署，</w:t>
      </w:r>
      <w:r>
        <w:rPr>
          <w:rFonts w:hint="eastAsia" w:hAnsi="宋体" w:cs="宋体"/>
          <w:color w:val="auto"/>
          <w:lang w:val="zh-CN" w:eastAsia="zh-CN"/>
        </w:rPr>
        <w:t>响应供应商</w:t>
      </w:r>
      <w:r>
        <w:rPr>
          <w:rFonts w:hint="eastAsia" w:ascii="宋体" w:hAnsi="宋体" w:eastAsia="宋体" w:cs="宋体"/>
          <w:color w:val="auto"/>
          <w:lang w:val="zh-CN" w:eastAsia="zh-CN"/>
        </w:rPr>
        <w:t>除可对</w:t>
      </w:r>
      <w:r>
        <w:rPr>
          <w:rFonts w:hint="eastAsia" w:hAnsi="宋体" w:cs="宋体"/>
          <w:color w:val="auto"/>
          <w:lang w:val="zh-CN" w:eastAsia="zh-CN"/>
        </w:rPr>
        <w:t>响应文件</w:t>
      </w:r>
      <w:r>
        <w:rPr>
          <w:rFonts w:hint="eastAsia" w:ascii="宋体" w:hAnsi="宋体" w:eastAsia="宋体" w:cs="宋体"/>
          <w:color w:val="auto"/>
          <w:lang w:val="zh-CN" w:eastAsia="zh-CN"/>
        </w:rPr>
        <w:t>的错处作必要修改外，</w:t>
      </w:r>
      <w:r>
        <w:rPr>
          <w:rFonts w:hint="eastAsia" w:hAnsi="宋体" w:cs="宋体"/>
          <w:color w:val="auto"/>
          <w:lang w:val="zh-CN" w:eastAsia="zh-CN"/>
        </w:rPr>
        <w:t>响应文件</w:t>
      </w:r>
      <w:r>
        <w:rPr>
          <w:rFonts w:hint="eastAsia" w:ascii="宋体" w:hAnsi="宋体" w:eastAsia="宋体" w:cs="宋体"/>
          <w:color w:val="auto"/>
          <w:lang w:val="zh-CN" w:eastAsia="zh-CN"/>
        </w:rPr>
        <w:t>中不许有加行、涂抹或改写。任何涂改或修正（如有）须由原签署人签字确认，并加盖</w:t>
      </w:r>
      <w:r>
        <w:rPr>
          <w:rFonts w:hint="eastAsia" w:hAnsi="宋体" w:cs="宋体"/>
          <w:color w:val="auto"/>
          <w:lang w:val="zh-CN" w:eastAsia="zh-CN"/>
        </w:rPr>
        <w:t>响应供应商</w:t>
      </w:r>
      <w:r>
        <w:rPr>
          <w:rFonts w:hint="eastAsia" w:ascii="宋体" w:hAnsi="宋体" w:eastAsia="宋体" w:cs="宋体"/>
          <w:color w:val="auto"/>
          <w:lang w:val="zh-CN" w:eastAsia="zh-CN"/>
        </w:rPr>
        <w:t>法人公章。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4</w:t>
      </w:r>
      <w:r>
        <w:rPr>
          <w:rFonts w:hint="eastAsia" w:ascii="宋体" w:hAnsi="宋体" w:eastAsia="宋体" w:cs="宋体"/>
          <w:color w:val="auto"/>
          <w:lang w:val="zh-CN" w:eastAsia="zh-CN"/>
        </w:rPr>
        <w:t>）</w:t>
      </w:r>
      <w:r>
        <w:rPr>
          <w:rFonts w:hint="eastAsia" w:hAnsi="宋体" w:cs="宋体"/>
          <w:color w:val="auto"/>
          <w:lang w:val="zh-CN" w:eastAsia="zh-CN"/>
        </w:rPr>
        <w:t>响应文件</w:t>
      </w:r>
      <w:r>
        <w:rPr>
          <w:rFonts w:hint="eastAsia" w:ascii="宋体" w:hAnsi="宋体" w:eastAsia="宋体" w:cs="宋体"/>
          <w:color w:val="auto"/>
          <w:lang w:val="zh-CN" w:eastAsia="zh-CN"/>
        </w:rPr>
        <w:t>的正本每页及所有</w:t>
      </w:r>
      <w:r>
        <w:rPr>
          <w:rFonts w:hint="eastAsia" w:hAnsi="宋体" w:cs="宋体"/>
          <w:color w:val="auto"/>
          <w:lang w:val="zh-CN" w:eastAsia="zh-CN"/>
        </w:rPr>
        <w:t>响应文件</w:t>
      </w:r>
      <w:r>
        <w:rPr>
          <w:rFonts w:hint="eastAsia" w:ascii="宋体" w:hAnsi="宋体" w:eastAsia="宋体" w:cs="宋体"/>
          <w:color w:val="auto"/>
          <w:lang w:val="zh-CN" w:eastAsia="zh-CN"/>
        </w:rPr>
        <w:t>的正本和副本的封面及骑缝均须由</w:t>
      </w:r>
      <w:r>
        <w:rPr>
          <w:rFonts w:hint="eastAsia" w:hAnsi="宋体" w:cs="宋体"/>
          <w:color w:val="auto"/>
          <w:lang w:val="zh-CN" w:eastAsia="zh-CN"/>
        </w:rPr>
        <w:t>响应供应商</w:t>
      </w:r>
      <w:r>
        <w:rPr>
          <w:rFonts w:hint="eastAsia" w:ascii="宋体" w:hAnsi="宋体" w:eastAsia="宋体" w:cs="宋体"/>
          <w:color w:val="auto"/>
          <w:lang w:val="zh-CN" w:eastAsia="zh-CN"/>
        </w:rPr>
        <w:t>加盖</w:t>
      </w:r>
      <w:r>
        <w:rPr>
          <w:rFonts w:hint="eastAsia" w:hAnsi="宋体" w:cs="宋体"/>
          <w:color w:val="auto"/>
          <w:lang w:val="zh-CN" w:eastAsia="zh-CN"/>
        </w:rPr>
        <w:t>响应供应商</w:t>
      </w:r>
      <w:r>
        <w:rPr>
          <w:rFonts w:hint="eastAsia" w:ascii="宋体" w:hAnsi="宋体" w:eastAsia="宋体" w:cs="宋体"/>
          <w:color w:val="auto"/>
          <w:lang w:val="zh-CN" w:eastAsia="zh-CN"/>
        </w:rPr>
        <w:t>法人公章。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5</w:t>
      </w:r>
      <w:r>
        <w:rPr>
          <w:rFonts w:hint="eastAsia" w:ascii="宋体" w:hAnsi="宋体" w:eastAsia="宋体" w:cs="宋体"/>
          <w:color w:val="auto"/>
          <w:lang w:val="zh-CN" w:eastAsia="zh-CN"/>
        </w:rPr>
        <w:t>）</w:t>
      </w:r>
      <w:r>
        <w:rPr>
          <w:rFonts w:hint="eastAsia" w:hAnsi="宋体" w:cs="宋体"/>
          <w:color w:val="auto"/>
          <w:lang w:val="zh-CN" w:eastAsia="zh-CN"/>
        </w:rPr>
        <w:t>响应文件</w:t>
      </w:r>
      <w:r>
        <w:rPr>
          <w:rFonts w:hint="eastAsia" w:ascii="宋体" w:hAnsi="宋体" w:eastAsia="宋体" w:cs="宋体"/>
          <w:color w:val="auto"/>
          <w:lang w:val="zh-CN" w:eastAsia="zh-CN"/>
        </w:rPr>
        <w:t>的封面应注明“采购项目名称、项目编号、</w:t>
      </w:r>
      <w:r>
        <w:rPr>
          <w:rFonts w:hint="eastAsia" w:hAnsi="宋体" w:cs="宋体"/>
          <w:color w:val="auto"/>
          <w:lang w:val="zh-CN" w:eastAsia="zh-CN"/>
        </w:rPr>
        <w:t>响应供应商</w:t>
      </w:r>
      <w:r>
        <w:rPr>
          <w:rFonts w:hint="eastAsia" w:ascii="宋体" w:hAnsi="宋体" w:eastAsia="宋体" w:cs="宋体"/>
          <w:color w:val="auto"/>
          <w:lang w:val="zh-CN" w:eastAsia="zh-CN"/>
        </w:rPr>
        <w:t>名称、报价日期等”。</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6</w:t>
      </w:r>
      <w:r>
        <w:rPr>
          <w:rFonts w:hint="eastAsia" w:ascii="宋体" w:hAnsi="宋体" w:eastAsia="宋体" w:cs="宋体"/>
          <w:color w:val="auto"/>
          <w:lang w:val="zh-CN" w:eastAsia="zh-CN"/>
        </w:rPr>
        <w:t>）电子文件用U盘或CD-R光盘储存，并密封于“唱标信封”内。</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7</w:t>
      </w:r>
      <w:r>
        <w:rPr>
          <w:rFonts w:hint="eastAsia" w:ascii="宋体" w:hAnsi="宋体" w:eastAsia="宋体" w:cs="宋体"/>
          <w:color w:val="auto"/>
          <w:lang w:val="zh-CN" w:eastAsia="zh-CN"/>
        </w:rPr>
        <w:t>）电报、电传、传真的报价概不接受。</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bookmarkStart w:id="36" w:name="_Toc382926895"/>
      <w:bookmarkStart w:id="37" w:name="_Toc382840844"/>
      <w:r>
        <w:rPr>
          <w:rFonts w:hint="eastAsia" w:ascii="宋体" w:hAnsi="宋体" w:eastAsia="宋体" w:cs="宋体"/>
          <w:b/>
          <w:bCs/>
          <w:color w:val="auto"/>
          <w:lang w:val="en-US" w:eastAsia="zh-CN"/>
        </w:rPr>
        <w:t>五、</w:t>
      </w:r>
      <w:r>
        <w:rPr>
          <w:rFonts w:hint="eastAsia" w:hAnsi="宋体" w:cs="宋体"/>
          <w:b/>
          <w:bCs/>
          <w:color w:val="auto"/>
          <w:lang w:val="zh-CN" w:eastAsia="zh-CN"/>
        </w:rPr>
        <w:t>响应文件</w:t>
      </w:r>
      <w:r>
        <w:rPr>
          <w:rFonts w:hint="eastAsia" w:ascii="宋体" w:hAnsi="宋体" w:eastAsia="宋体" w:cs="宋体"/>
          <w:b/>
          <w:bCs/>
          <w:color w:val="auto"/>
          <w:lang w:val="zh-CN" w:eastAsia="zh-CN"/>
        </w:rPr>
        <w:t>的密封和递交</w:t>
      </w:r>
      <w:bookmarkEnd w:id="36"/>
      <w:bookmarkEnd w:id="37"/>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hAnsi="宋体" w:cs="宋体"/>
          <w:color w:val="auto"/>
          <w:lang w:val="zh-CN" w:eastAsia="zh-CN"/>
        </w:rPr>
        <w:t>响应文件</w:t>
      </w:r>
      <w:r>
        <w:rPr>
          <w:rFonts w:hint="eastAsia" w:ascii="宋体" w:hAnsi="宋体" w:eastAsia="宋体" w:cs="宋体"/>
          <w:color w:val="auto"/>
          <w:lang w:val="zh-CN" w:eastAsia="zh-CN"/>
        </w:rPr>
        <w:t>的密封和标记</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hAnsi="宋体" w:cs="宋体"/>
          <w:color w:val="auto"/>
          <w:lang w:val="zh-CN" w:eastAsia="zh-CN"/>
        </w:rPr>
        <w:t>响应供应商</w:t>
      </w:r>
      <w:r>
        <w:rPr>
          <w:rFonts w:hint="eastAsia" w:ascii="宋体" w:hAnsi="宋体" w:eastAsia="宋体" w:cs="宋体"/>
          <w:color w:val="auto"/>
          <w:lang w:val="zh-CN" w:eastAsia="zh-CN"/>
        </w:rPr>
        <w:t>应将</w:t>
      </w:r>
      <w:r>
        <w:rPr>
          <w:rFonts w:hint="eastAsia" w:hAnsi="宋体" w:cs="宋体"/>
          <w:color w:val="auto"/>
          <w:lang w:val="zh-CN" w:eastAsia="zh-CN"/>
        </w:rPr>
        <w:t>响应文件</w:t>
      </w:r>
      <w:r>
        <w:rPr>
          <w:rFonts w:hint="eastAsia" w:ascii="宋体" w:hAnsi="宋体" w:eastAsia="宋体" w:cs="宋体"/>
          <w:color w:val="auto"/>
          <w:lang w:val="zh-CN" w:eastAsia="zh-CN"/>
        </w:rPr>
        <w:t>（不含唱标信封）一起密封在一个不透明的外层封装中，封口加盖</w:t>
      </w:r>
      <w:r>
        <w:rPr>
          <w:rFonts w:hint="eastAsia" w:hAnsi="宋体" w:cs="宋体"/>
          <w:color w:val="auto"/>
          <w:lang w:val="zh-CN" w:eastAsia="zh-CN"/>
        </w:rPr>
        <w:t>响应供应商</w:t>
      </w:r>
      <w:r>
        <w:rPr>
          <w:rFonts w:hint="eastAsia" w:ascii="宋体" w:hAnsi="宋体" w:eastAsia="宋体" w:cs="宋体"/>
          <w:color w:val="auto"/>
          <w:lang w:val="zh-CN" w:eastAsia="zh-CN"/>
        </w:rPr>
        <w:t>法人公章。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唱标信封应单独密封并加盖</w:t>
      </w:r>
      <w:r>
        <w:rPr>
          <w:rFonts w:hint="eastAsia" w:hAnsi="宋体" w:cs="宋体"/>
          <w:color w:val="auto"/>
          <w:lang w:val="zh-CN" w:eastAsia="zh-CN"/>
        </w:rPr>
        <w:t>响应供应商</w:t>
      </w:r>
      <w:r>
        <w:rPr>
          <w:rFonts w:hint="eastAsia" w:ascii="宋体" w:hAnsi="宋体" w:eastAsia="宋体" w:cs="宋体"/>
          <w:color w:val="auto"/>
          <w:lang w:val="zh-CN" w:eastAsia="zh-CN"/>
        </w:rPr>
        <w:t>法人公章，与</w:t>
      </w:r>
      <w:r>
        <w:rPr>
          <w:rFonts w:hint="eastAsia" w:hAnsi="宋体" w:cs="宋体"/>
          <w:color w:val="auto"/>
          <w:lang w:val="zh-CN" w:eastAsia="zh-CN"/>
        </w:rPr>
        <w:t>响应文件</w:t>
      </w:r>
      <w:r>
        <w:rPr>
          <w:rFonts w:hint="eastAsia" w:ascii="宋体" w:hAnsi="宋体" w:eastAsia="宋体" w:cs="宋体"/>
          <w:color w:val="auto"/>
          <w:lang w:val="zh-CN" w:eastAsia="zh-CN"/>
        </w:rPr>
        <w:t>一同提交。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hAnsi="宋体" w:cs="宋体"/>
          <w:color w:val="auto"/>
          <w:lang w:val="zh-CN" w:eastAsia="zh-CN"/>
        </w:rPr>
        <w:t>响应文件</w:t>
      </w:r>
      <w:r>
        <w:rPr>
          <w:rFonts w:hint="eastAsia" w:ascii="宋体" w:hAnsi="宋体" w:eastAsia="宋体" w:cs="宋体"/>
          <w:color w:val="auto"/>
          <w:lang w:val="zh-CN" w:eastAsia="zh-CN"/>
        </w:rPr>
        <w:t>密封封装标记：外层密封封装表面应正确标明</w:t>
      </w:r>
      <w:r>
        <w:rPr>
          <w:rFonts w:hint="eastAsia" w:hAnsi="宋体" w:cs="宋体"/>
          <w:color w:val="auto"/>
          <w:lang w:val="zh-CN" w:eastAsia="zh-CN"/>
        </w:rPr>
        <w:t>响应供应商</w:t>
      </w:r>
      <w:r>
        <w:rPr>
          <w:rFonts w:hint="eastAsia" w:ascii="宋体" w:hAnsi="宋体" w:eastAsia="宋体" w:cs="宋体"/>
          <w:color w:val="auto"/>
          <w:lang w:val="zh-CN" w:eastAsia="zh-CN"/>
        </w:rPr>
        <w:t>名称、地址、项目名称、包号（如有）、</w:t>
      </w:r>
      <w:r>
        <w:rPr>
          <w:rFonts w:hint="eastAsia" w:hAnsi="宋体" w:cs="宋体"/>
          <w:color w:val="auto"/>
          <w:lang w:val="zh-CN" w:eastAsia="zh-CN"/>
        </w:rPr>
        <w:t>响应文件</w:t>
      </w:r>
      <w:r>
        <w:rPr>
          <w:rFonts w:hint="eastAsia" w:ascii="宋体" w:hAnsi="宋体" w:eastAsia="宋体" w:cs="宋体"/>
          <w:color w:val="auto"/>
          <w:lang w:val="zh-CN" w:eastAsia="zh-CN"/>
        </w:rPr>
        <w:t>名称、并注明</w:t>
      </w:r>
      <w:r>
        <w:rPr>
          <w:rFonts w:hint="eastAsia" w:hAnsi="宋体" w:cs="宋体"/>
          <w:color w:val="auto"/>
          <w:lang w:val="zh-CN" w:eastAsia="zh-CN"/>
        </w:rPr>
        <w:t>响应文件</w:t>
      </w:r>
      <w:r>
        <w:rPr>
          <w:rFonts w:hint="eastAsia" w:ascii="宋体" w:hAnsi="宋体" w:eastAsia="宋体" w:cs="宋体"/>
          <w:color w:val="auto"/>
          <w:lang w:val="zh-CN" w:eastAsia="zh-CN"/>
        </w:rPr>
        <w:t>递交截止时间之前不得开封（在封口位置的封条上标注注明），封口位置须加盖</w:t>
      </w:r>
      <w:r>
        <w:rPr>
          <w:rFonts w:hint="eastAsia" w:hAnsi="宋体" w:cs="宋体"/>
          <w:color w:val="auto"/>
          <w:lang w:val="zh-CN" w:eastAsia="zh-CN"/>
        </w:rPr>
        <w:t>响应供应商</w:t>
      </w:r>
      <w:r>
        <w:rPr>
          <w:rFonts w:hint="eastAsia" w:ascii="宋体" w:hAnsi="宋体" w:eastAsia="宋体" w:cs="宋体"/>
          <w:color w:val="auto"/>
          <w:lang w:val="zh-CN" w:eastAsia="zh-CN"/>
        </w:rPr>
        <w:t>法人公章</w:t>
      </w:r>
      <w:r>
        <w:rPr>
          <w:rFonts w:hint="eastAsia" w:hAnsi="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如果因密封封装未按本款规定密封和标记，导致采购代理机构对</w:t>
      </w:r>
      <w:r>
        <w:rPr>
          <w:rFonts w:hint="eastAsia" w:hAnsi="宋体" w:cs="宋体"/>
          <w:color w:val="auto"/>
          <w:lang w:val="zh-CN" w:eastAsia="zh-CN"/>
        </w:rPr>
        <w:t>响应文件</w:t>
      </w:r>
      <w:r>
        <w:rPr>
          <w:rFonts w:hint="eastAsia" w:ascii="宋体" w:hAnsi="宋体" w:eastAsia="宋体" w:cs="宋体"/>
          <w:color w:val="auto"/>
          <w:lang w:val="zh-CN" w:eastAsia="zh-CN"/>
        </w:rPr>
        <w:t>误投、提前拆封或错放的，由</w:t>
      </w:r>
      <w:r>
        <w:rPr>
          <w:rFonts w:hint="eastAsia" w:hAnsi="宋体" w:cs="宋体"/>
          <w:color w:val="auto"/>
          <w:lang w:val="zh-CN" w:eastAsia="zh-CN"/>
        </w:rPr>
        <w:t>响应供应商</w:t>
      </w:r>
      <w:r>
        <w:rPr>
          <w:rFonts w:hint="eastAsia" w:ascii="宋体" w:hAnsi="宋体" w:eastAsia="宋体" w:cs="宋体"/>
          <w:color w:val="auto"/>
          <w:lang w:val="zh-CN" w:eastAsia="zh-CN"/>
        </w:rPr>
        <w:t>承担责任。对由此造成提前开封的</w:t>
      </w:r>
      <w:r>
        <w:rPr>
          <w:rFonts w:hint="eastAsia" w:hAnsi="宋体" w:cs="宋体"/>
          <w:color w:val="auto"/>
          <w:lang w:val="zh-CN" w:eastAsia="zh-CN"/>
        </w:rPr>
        <w:t>响应文件</w:t>
      </w:r>
      <w:r>
        <w:rPr>
          <w:rFonts w:hint="eastAsia" w:ascii="宋体" w:hAnsi="宋体" w:eastAsia="宋体" w:cs="宋体"/>
          <w:color w:val="auto"/>
          <w:lang w:val="zh-CN" w:eastAsia="zh-CN"/>
        </w:rPr>
        <w:t>，采购代理机构予以拒绝，并退回</w:t>
      </w:r>
      <w:r>
        <w:rPr>
          <w:rFonts w:hint="eastAsia" w:hAnsi="宋体" w:cs="宋体"/>
          <w:color w:val="auto"/>
          <w:lang w:val="zh-CN" w:eastAsia="zh-CN"/>
        </w:rPr>
        <w:t>响应供应商</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hAnsi="宋体" w:cs="宋体"/>
          <w:color w:val="auto"/>
          <w:lang w:val="zh-CN" w:eastAsia="zh-CN"/>
        </w:rPr>
        <w:t>响应文件</w:t>
      </w:r>
      <w:r>
        <w:rPr>
          <w:rFonts w:hint="eastAsia" w:ascii="宋体" w:hAnsi="宋体" w:eastAsia="宋体" w:cs="宋体"/>
          <w:color w:val="auto"/>
          <w:lang w:val="zh-CN" w:eastAsia="zh-CN"/>
        </w:rPr>
        <w:t>的递交和接收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hAnsi="宋体" w:cs="宋体"/>
          <w:color w:val="auto"/>
          <w:lang w:val="zh-CN" w:eastAsia="zh-CN"/>
        </w:rPr>
        <w:t>响应供应商</w:t>
      </w:r>
      <w:r>
        <w:rPr>
          <w:rFonts w:hint="eastAsia" w:ascii="宋体" w:hAnsi="宋体" w:eastAsia="宋体" w:cs="宋体"/>
          <w:color w:val="auto"/>
          <w:lang w:val="zh-CN" w:eastAsia="zh-CN"/>
        </w:rPr>
        <w:t>代表应按《报价须知前附表》所规定的时间和地点向采购人递交</w:t>
      </w:r>
      <w:r>
        <w:rPr>
          <w:rFonts w:hint="eastAsia" w:hAnsi="宋体" w:cs="宋体"/>
          <w:color w:val="auto"/>
          <w:lang w:val="zh-CN" w:eastAsia="zh-CN"/>
        </w:rPr>
        <w:t>响应文件</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若出现以下情况，采购人将拒绝接收</w:t>
      </w:r>
      <w:r>
        <w:rPr>
          <w:rFonts w:hint="eastAsia" w:hAnsi="宋体" w:cs="宋体"/>
          <w:color w:val="auto"/>
          <w:lang w:val="zh-CN" w:eastAsia="zh-CN"/>
        </w:rPr>
        <w:t>响应文件</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在报价截止时间后逾期或未在指定地点递交</w:t>
      </w:r>
      <w:r>
        <w:rPr>
          <w:rFonts w:hint="eastAsia" w:hAnsi="宋体" w:cs="宋体"/>
          <w:color w:val="auto"/>
          <w:lang w:val="zh-CN" w:eastAsia="zh-CN"/>
        </w:rPr>
        <w:t>响应文件</w:t>
      </w:r>
      <w:r>
        <w:rPr>
          <w:rFonts w:hint="eastAsia" w:ascii="宋体" w:hAnsi="宋体" w:eastAsia="宋体" w:cs="宋体"/>
          <w:color w:val="auto"/>
          <w:lang w:val="zh-CN" w:eastAsia="zh-CN"/>
        </w:rPr>
        <w:t>的；</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hAnsi="宋体" w:cs="宋体"/>
          <w:color w:val="auto"/>
          <w:lang w:val="zh-CN" w:eastAsia="zh-CN"/>
        </w:rPr>
        <w:t>响应文件</w:t>
      </w:r>
      <w:r>
        <w:rPr>
          <w:rFonts w:hint="eastAsia" w:ascii="宋体" w:hAnsi="宋体" w:eastAsia="宋体" w:cs="宋体"/>
          <w:color w:val="auto"/>
          <w:lang w:val="zh-CN" w:eastAsia="zh-CN"/>
        </w:rPr>
        <w:t>未按谈判文件要求密封和标识的；</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如</w:t>
      </w:r>
      <w:r>
        <w:rPr>
          <w:rFonts w:hint="eastAsia" w:hAnsi="宋体" w:cs="宋体"/>
          <w:color w:val="auto"/>
          <w:lang w:val="zh-CN" w:eastAsia="zh-CN"/>
        </w:rPr>
        <w:t>响应文件</w:t>
      </w:r>
      <w:r>
        <w:rPr>
          <w:rFonts w:hint="eastAsia" w:ascii="宋体" w:hAnsi="宋体" w:eastAsia="宋体" w:cs="宋体"/>
          <w:color w:val="auto"/>
          <w:lang w:val="zh-CN" w:eastAsia="zh-CN"/>
        </w:rPr>
        <w:t>不能在接收标书当天开启时，须按机密件集中封存在指定的地点，并由</w:t>
      </w:r>
      <w:r>
        <w:rPr>
          <w:rFonts w:hint="eastAsia" w:hAnsi="宋体" w:cs="宋体"/>
          <w:color w:val="auto"/>
          <w:lang w:val="zh-CN" w:eastAsia="zh-CN"/>
        </w:rPr>
        <w:t>响应供应商</w:t>
      </w:r>
      <w:r>
        <w:rPr>
          <w:rFonts w:hint="eastAsia" w:ascii="宋体" w:hAnsi="宋体" w:eastAsia="宋体" w:cs="宋体"/>
          <w:color w:val="auto"/>
          <w:lang w:val="zh-CN" w:eastAsia="zh-CN"/>
        </w:rPr>
        <w:t>全体见证密封，报价前再从封标室解封、取出。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全体</w:t>
      </w:r>
      <w:r>
        <w:rPr>
          <w:rFonts w:hint="eastAsia" w:hAnsi="宋体" w:cs="宋体"/>
          <w:color w:val="auto"/>
          <w:lang w:val="zh-CN" w:eastAsia="zh-CN"/>
        </w:rPr>
        <w:t>响应供应商</w:t>
      </w:r>
      <w:r>
        <w:rPr>
          <w:rFonts w:hint="eastAsia" w:ascii="宋体" w:hAnsi="宋体" w:eastAsia="宋体" w:cs="宋体"/>
          <w:color w:val="auto"/>
          <w:lang w:val="zh-CN" w:eastAsia="zh-CN"/>
        </w:rPr>
        <w:t>应见证封标及标书的解封、取出过程,如</w:t>
      </w:r>
      <w:r>
        <w:rPr>
          <w:rFonts w:hint="eastAsia" w:hAnsi="宋体" w:cs="宋体"/>
          <w:color w:val="auto"/>
          <w:lang w:val="zh-CN" w:eastAsia="zh-CN"/>
        </w:rPr>
        <w:t>响应供应商</w:t>
      </w:r>
      <w:r>
        <w:rPr>
          <w:rFonts w:hint="eastAsia" w:ascii="宋体" w:hAnsi="宋体" w:eastAsia="宋体" w:cs="宋体"/>
          <w:color w:val="auto"/>
          <w:lang w:val="zh-CN" w:eastAsia="zh-CN"/>
        </w:rPr>
        <w:t>不参加见证封标及标书的解封、取出过程，视同认可</w:t>
      </w:r>
      <w:r>
        <w:rPr>
          <w:rFonts w:hint="eastAsia" w:hAnsi="宋体" w:cs="宋体"/>
          <w:color w:val="auto"/>
          <w:lang w:val="zh-CN" w:eastAsia="zh-CN"/>
        </w:rPr>
        <w:t>响应文件</w:t>
      </w:r>
      <w:r>
        <w:rPr>
          <w:rFonts w:hint="eastAsia" w:ascii="宋体" w:hAnsi="宋体" w:eastAsia="宋体" w:cs="宋体"/>
          <w:color w:val="auto"/>
          <w:lang w:val="zh-CN" w:eastAsia="zh-CN"/>
        </w:rPr>
        <w:t>的封存的解封、取出过程与结果。</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5）</w:t>
      </w:r>
      <w:r>
        <w:rPr>
          <w:rFonts w:hint="eastAsia" w:ascii="宋体" w:hAnsi="宋体" w:eastAsia="宋体" w:cs="宋体"/>
          <w:color w:val="auto"/>
          <w:lang w:val="zh-CN" w:eastAsia="zh-CN"/>
        </w:rPr>
        <w:t>采购人可按照第9款的规定修改谈判文件并酌情延长递交</w:t>
      </w:r>
      <w:r>
        <w:rPr>
          <w:rFonts w:hint="eastAsia" w:hAnsi="宋体" w:cs="宋体"/>
          <w:color w:val="auto"/>
          <w:lang w:val="zh-CN" w:eastAsia="zh-CN"/>
        </w:rPr>
        <w:t>响应文件</w:t>
      </w:r>
      <w:r>
        <w:rPr>
          <w:rFonts w:hint="eastAsia" w:ascii="宋体" w:hAnsi="宋体" w:eastAsia="宋体" w:cs="宋体"/>
          <w:color w:val="auto"/>
          <w:lang w:val="zh-CN" w:eastAsia="zh-CN"/>
        </w:rPr>
        <w:t>的截止时间，因此，业已规定的采购代理机构和</w:t>
      </w:r>
      <w:r>
        <w:rPr>
          <w:rFonts w:hint="eastAsia" w:hAnsi="宋体" w:cs="宋体"/>
          <w:color w:val="auto"/>
          <w:lang w:val="zh-CN" w:eastAsia="zh-CN"/>
        </w:rPr>
        <w:t>响应供应商</w:t>
      </w:r>
      <w:r>
        <w:rPr>
          <w:rFonts w:hint="eastAsia" w:ascii="宋体" w:hAnsi="宋体" w:eastAsia="宋体" w:cs="宋体"/>
          <w:color w:val="auto"/>
          <w:lang w:val="zh-CN" w:eastAsia="zh-CN"/>
        </w:rPr>
        <w:t>的一切权利和义务将按延期后的递交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截止时间履行。</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迟交的</w:t>
      </w:r>
      <w:r>
        <w:rPr>
          <w:rFonts w:hint="eastAsia" w:hAnsi="宋体" w:cs="宋体"/>
          <w:color w:val="auto"/>
          <w:lang w:val="zh-CN" w:eastAsia="zh-CN"/>
        </w:rPr>
        <w:t>响应文件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采购代理机构将拒绝任何晚于递交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截止时间交到的</w:t>
      </w:r>
      <w:r>
        <w:rPr>
          <w:rFonts w:hint="eastAsia" w:hAnsi="宋体" w:cs="宋体"/>
          <w:color w:val="auto"/>
          <w:lang w:val="zh-CN" w:eastAsia="zh-CN"/>
        </w:rPr>
        <w:t>响应文件</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hAnsi="宋体" w:cs="宋体"/>
          <w:color w:val="auto"/>
          <w:lang w:val="zh-CN" w:eastAsia="zh-CN"/>
        </w:rPr>
        <w:t>响应文件</w:t>
      </w:r>
      <w:r>
        <w:rPr>
          <w:rFonts w:hint="eastAsia" w:ascii="宋体" w:hAnsi="宋体" w:eastAsia="宋体" w:cs="宋体"/>
          <w:color w:val="auto"/>
          <w:lang w:val="zh-CN" w:eastAsia="zh-CN"/>
        </w:rPr>
        <w:t>的修改和撤回</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可在递交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截止时间前对其递交的</w:t>
      </w:r>
      <w:r>
        <w:rPr>
          <w:rFonts w:hint="eastAsia" w:hAnsi="宋体" w:cs="宋体"/>
          <w:color w:val="auto"/>
          <w:lang w:val="zh-CN" w:eastAsia="zh-CN"/>
        </w:rPr>
        <w:t>响应文件</w:t>
      </w:r>
      <w:r>
        <w:rPr>
          <w:rFonts w:hint="eastAsia" w:ascii="宋体" w:hAnsi="宋体" w:eastAsia="宋体" w:cs="宋体"/>
          <w:color w:val="auto"/>
          <w:lang w:val="zh-CN" w:eastAsia="zh-CN"/>
        </w:rPr>
        <w:t>进行修改或撤回，但须在递交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截止时间前向采购代理机构提出修改或撤回的书面通知。</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对</w:t>
      </w:r>
      <w:r>
        <w:rPr>
          <w:rFonts w:hint="eastAsia" w:hAnsi="宋体" w:cs="宋体"/>
          <w:color w:val="auto"/>
          <w:lang w:val="zh-CN" w:eastAsia="zh-CN"/>
        </w:rPr>
        <w:t>响应文件</w:t>
      </w:r>
      <w:r>
        <w:rPr>
          <w:rFonts w:hint="eastAsia" w:ascii="宋体" w:hAnsi="宋体" w:eastAsia="宋体" w:cs="宋体"/>
          <w:color w:val="auto"/>
          <w:lang w:val="zh-CN" w:eastAsia="zh-CN"/>
        </w:rPr>
        <w:t>的修改或撤回的通知应按第17款和第18款规定进行准备、密封、标注和递送。</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截止时间后，</w:t>
      </w:r>
      <w:r>
        <w:rPr>
          <w:rFonts w:hint="eastAsia" w:hAnsi="宋体" w:cs="宋体"/>
          <w:color w:val="auto"/>
          <w:lang w:val="zh-CN" w:eastAsia="zh-CN"/>
        </w:rPr>
        <w:t>响应供应商</w:t>
      </w:r>
      <w:r>
        <w:rPr>
          <w:rFonts w:hint="eastAsia" w:ascii="宋体" w:hAnsi="宋体" w:eastAsia="宋体" w:cs="宋体"/>
          <w:color w:val="auto"/>
          <w:lang w:val="zh-CN" w:eastAsia="zh-CN"/>
        </w:rPr>
        <w:t>不得修改</w:t>
      </w:r>
      <w:r>
        <w:rPr>
          <w:rFonts w:hint="eastAsia" w:hAnsi="宋体" w:cs="宋体"/>
          <w:color w:val="auto"/>
          <w:lang w:val="zh-CN" w:eastAsia="zh-CN"/>
        </w:rPr>
        <w:t>响应文件</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4</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不得在递交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截止时间起至第16款规定的</w:t>
      </w:r>
      <w:r>
        <w:rPr>
          <w:rFonts w:hint="eastAsia" w:hAnsi="宋体" w:cs="宋体"/>
          <w:color w:val="auto"/>
          <w:lang w:val="zh-CN" w:eastAsia="zh-CN"/>
        </w:rPr>
        <w:t>响应有效期</w:t>
      </w:r>
      <w:r>
        <w:rPr>
          <w:rFonts w:hint="eastAsia" w:ascii="宋体" w:hAnsi="宋体" w:eastAsia="宋体" w:cs="宋体"/>
          <w:color w:val="auto"/>
          <w:lang w:val="zh-CN" w:eastAsia="zh-CN"/>
        </w:rPr>
        <w:t>期满前撤回其</w:t>
      </w:r>
      <w:r>
        <w:rPr>
          <w:rFonts w:hint="eastAsia" w:hAnsi="宋体" w:cs="宋体"/>
          <w:color w:val="auto"/>
          <w:lang w:val="zh-CN" w:eastAsia="zh-CN"/>
        </w:rPr>
        <w:t>响应文件</w:t>
      </w:r>
      <w:r>
        <w:rPr>
          <w:rFonts w:hint="eastAsia" w:ascii="宋体" w:hAnsi="宋体" w:eastAsia="宋体" w:cs="宋体"/>
          <w:color w:val="auto"/>
          <w:lang w:val="zh-CN" w:eastAsia="zh-CN"/>
        </w:rPr>
        <w:t>。否则采购代理机构将按第15.7款规定没收其</w:t>
      </w:r>
      <w:r>
        <w:rPr>
          <w:rFonts w:hint="eastAsia" w:hAnsi="宋体" w:cs="宋体"/>
          <w:color w:val="auto"/>
          <w:lang w:val="zh-CN" w:eastAsia="zh-CN"/>
        </w:rPr>
        <w:t>响应保证金</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r>
        <w:rPr>
          <w:rFonts w:hint="eastAsia" w:ascii="宋体" w:hAnsi="宋体" w:eastAsia="宋体" w:cs="宋体"/>
          <w:b/>
          <w:bCs/>
          <w:color w:val="auto"/>
          <w:lang w:val="zh-CN" w:eastAsia="zh-CN"/>
        </w:rPr>
        <w:t>六、谈判、评审和结果确认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（一）响应</w:t>
      </w:r>
      <w:r>
        <w:rPr>
          <w:rFonts w:hint="eastAsia" w:hAnsi="宋体" w:cs="宋体"/>
          <w:color w:val="auto"/>
          <w:lang w:val="zh-CN" w:eastAsia="zh-CN"/>
        </w:rPr>
        <w:t>响应文件</w:t>
      </w:r>
      <w:r>
        <w:rPr>
          <w:rFonts w:hint="eastAsia" w:ascii="宋体" w:hAnsi="宋体" w:eastAsia="宋体" w:cs="宋体"/>
          <w:color w:val="auto"/>
          <w:lang w:val="zh-CN" w:eastAsia="zh-CN"/>
        </w:rPr>
        <w:t>的开启</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采购代理机构在</w:t>
      </w:r>
      <w:r>
        <w:rPr>
          <w:rFonts w:hint="eastAsia" w:hAnsi="宋体" w:cs="宋体"/>
          <w:color w:val="auto"/>
          <w:lang w:val="zh-CN" w:eastAsia="zh-CN"/>
        </w:rPr>
        <w:t>响应供应商</w:t>
      </w:r>
      <w:r>
        <w:rPr>
          <w:rFonts w:hint="eastAsia" w:ascii="宋体" w:hAnsi="宋体" w:eastAsia="宋体" w:cs="宋体"/>
          <w:color w:val="auto"/>
          <w:lang w:val="zh-CN" w:eastAsia="zh-CN"/>
        </w:rPr>
        <w:t>代表自愿出席的情况下，在《报价须知前附表》规定的地点和时间进行响应文件开启。</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hAnsi="宋体" w:cs="宋体"/>
          <w:color w:val="auto"/>
          <w:lang w:val="zh-CN" w:eastAsia="zh-CN"/>
        </w:rPr>
        <w:t>响应供应商</w:t>
      </w:r>
      <w:r>
        <w:rPr>
          <w:rFonts w:hint="eastAsia" w:ascii="宋体" w:hAnsi="宋体" w:eastAsia="宋体" w:cs="宋体"/>
          <w:color w:val="auto"/>
          <w:lang w:val="zh-CN" w:eastAsia="zh-CN"/>
        </w:rPr>
        <w:t>代表（法定代表人或其授权代表）应出席并进行登记确认，如</w:t>
      </w:r>
      <w:r>
        <w:rPr>
          <w:rFonts w:hint="eastAsia" w:hAnsi="宋体" w:cs="宋体"/>
          <w:color w:val="auto"/>
          <w:lang w:val="zh-CN" w:eastAsia="zh-CN"/>
        </w:rPr>
        <w:t>响应供应商</w:t>
      </w:r>
      <w:r>
        <w:rPr>
          <w:rFonts w:hint="eastAsia" w:ascii="宋体" w:hAnsi="宋体" w:eastAsia="宋体" w:cs="宋体"/>
          <w:color w:val="auto"/>
          <w:lang w:val="zh-CN" w:eastAsia="zh-CN"/>
        </w:rPr>
        <w:t>代表不参与响应文件开启，视为默认开启结果。</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按照有关规定，提交了可接受的“撤回”通知的</w:t>
      </w:r>
      <w:r>
        <w:rPr>
          <w:rFonts w:hint="eastAsia" w:hAnsi="宋体" w:cs="宋体"/>
          <w:color w:val="auto"/>
          <w:lang w:val="zh-CN" w:eastAsia="zh-CN"/>
        </w:rPr>
        <w:t>响应文件</w:t>
      </w:r>
      <w:r>
        <w:rPr>
          <w:rFonts w:hint="eastAsia" w:ascii="宋体" w:hAnsi="宋体" w:eastAsia="宋体" w:cs="宋体"/>
          <w:color w:val="auto"/>
          <w:lang w:val="zh-CN" w:eastAsia="zh-CN"/>
        </w:rPr>
        <w:t>将不予开封。</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递交</w:t>
      </w:r>
      <w:r>
        <w:rPr>
          <w:rFonts w:hint="eastAsia" w:hAnsi="宋体" w:cs="宋体"/>
          <w:color w:val="auto"/>
          <w:lang w:val="zh-CN" w:eastAsia="zh-CN"/>
        </w:rPr>
        <w:t>响应文件</w:t>
      </w:r>
      <w:r>
        <w:rPr>
          <w:rFonts w:hint="eastAsia" w:ascii="宋体" w:hAnsi="宋体" w:eastAsia="宋体" w:cs="宋体"/>
          <w:color w:val="auto"/>
          <w:lang w:val="zh-CN" w:eastAsia="zh-CN"/>
        </w:rPr>
        <w:t>截止时间后，监督人员和</w:t>
      </w:r>
      <w:r>
        <w:rPr>
          <w:rFonts w:hint="eastAsia" w:hAnsi="宋体" w:cs="宋体"/>
          <w:color w:val="auto"/>
          <w:lang w:val="zh-CN" w:eastAsia="zh-CN"/>
        </w:rPr>
        <w:t>响应供应商</w:t>
      </w:r>
      <w:r>
        <w:rPr>
          <w:rFonts w:hint="eastAsia" w:ascii="宋体" w:hAnsi="宋体" w:eastAsia="宋体" w:cs="宋体"/>
          <w:color w:val="auto"/>
          <w:lang w:val="zh-CN" w:eastAsia="zh-CN"/>
        </w:rPr>
        <w:t>代表将对所有的</w:t>
      </w:r>
      <w:r>
        <w:rPr>
          <w:rFonts w:hint="eastAsia" w:hAnsi="宋体" w:cs="宋体"/>
          <w:color w:val="auto"/>
          <w:lang w:val="zh-CN" w:eastAsia="zh-CN"/>
        </w:rPr>
        <w:t>响应文件</w:t>
      </w:r>
      <w:r>
        <w:rPr>
          <w:rFonts w:hint="eastAsia" w:ascii="宋体" w:hAnsi="宋体" w:eastAsia="宋体" w:cs="宋体"/>
          <w:color w:val="auto"/>
          <w:lang w:val="zh-CN" w:eastAsia="zh-CN"/>
        </w:rPr>
        <w:t>的密封性进行检查。采购代理机构将当众宣读</w:t>
      </w:r>
      <w:r>
        <w:rPr>
          <w:rFonts w:hint="eastAsia" w:hAnsi="宋体" w:cs="宋体"/>
          <w:color w:val="auto"/>
          <w:lang w:val="zh-CN" w:eastAsia="zh-CN"/>
        </w:rPr>
        <w:t>响应供应商</w:t>
      </w:r>
      <w:r>
        <w:rPr>
          <w:rFonts w:hint="eastAsia" w:ascii="宋体" w:hAnsi="宋体" w:eastAsia="宋体" w:cs="宋体"/>
          <w:color w:val="auto"/>
          <w:lang w:val="zh-CN" w:eastAsia="zh-CN"/>
        </w:rPr>
        <w:t>名称、报价、折扣声明，以及采购代理机构认为合适的其他内容。若采购代理机构宣读的结果与</w:t>
      </w:r>
      <w:r>
        <w:rPr>
          <w:rFonts w:hint="eastAsia" w:hAnsi="宋体" w:cs="宋体"/>
          <w:color w:val="auto"/>
          <w:lang w:val="zh-CN" w:eastAsia="zh-CN"/>
        </w:rPr>
        <w:t>响应文件</w:t>
      </w:r>
      <w:r>
        <w:rPr>
          <w:rFonts w:hint="eastAsia" w:ascii="宋体" w:hAnsi="宋体" w:eastAsia="宋体" w:cs="宋体"/>
          <w:color w:val="auto"/>
          <w:lang w:val="zh-CN" w:eastAsia="zh-CN"/>
        </w:rPr>
        <w:t>不符时，</w:t>
      </w:r>
      <w:r>
        <w:rPr>
          <w:rFonts w:hint="eastAsia" w:hAnsi="宋体" w:cs="宋体"/>
          <w:color w:val="auto"/>
          <w:lang w:val="zh-CN" w:eastAsia="zh-CN"/>
        </w:rPr>
        <w:t>响应供应商</w:t>
      </w:r>
      <w:r>
        <w:rPr>
          <w:rFonts w:hint="eastAsia" w:ascii="宋体" w:hAnsi="宋体" w:eastAsia="宋体" w:cs="宋体"/>
          <w:color w:val="auto"/>
          <w:lang w:val="zh-CN" w:eastAsia="zh-CN"/>
        </w:rPr>
        <w:t>有权在报价现场提出异议，经有关监督人员或公证人员当场核查确认之后，可重新宣读其</w:t>
      </w:r>
      <w:r>
        <w:rPr>
          <w:rFonts w:hint="eastAsia" w:hAnsi="宋体" w:cs="宋体"/>
          <w:color w:val="auto"/>
          <w:lang w:val="zh-CN" w:eastAsia="zh-CN"/>
        </w:rPr>
        <w:t>响应文件</w:t>
      </w:r>
      <w:r>
        <w:rPr>
          <w:rFonts w:hint="eastAsia" w:ascii="宋体" w:hAnsi="宋体" w:eastAsia="宋体" w:cs="宋体"/>
          <w:color w:val="auto"/>
          <w:lang w:val="zh-CN" w:eastAsia="zh-CN"/>
        </w:rPr>
        <w:t>。若</w:t>
      </w:r>
      <w:r>
        <w:rPr>
          <w:rFonts w:hint="eastAsia" w:hAnsi="宋体" w:cs="宋体"/>
          <w:color w:val="auto"/>
          <w:lang w:val="zh-CN" w:eastAsia="zh-CN"/>
        </w:rPr>
        <w:t>响应供应商</w:t>
      </w:r>
      <w:r>
        <w:rPr>
          <w:rFonts w:hint="eastAsia" w:ascii="宋体" w:hAnsi="宋体" w:eastAsia="宋体" w:cs="宋体"/>
          <w:color w:val="auto"/>
          <w:lang w:val="zh-CN" w:eastAsia="zh-CN"/>
        </w:rPr>
        <w:t>现场未提出异议，则视为</w:t>
      </w:r>
      <w:r>
        <w:rPr>
          <w:rFonts w:hint="eastAsia" w:hAnsi="宋体" w:cs="宋体"/>
          <w:color w:val="auto"/>
          <w:lang w:val="zh-CN" w:eastAsia="zh-CN"/>
        </w:rPr>
        <w:t>响应供应商</w:t>
      </w:r>
      <w:r>
        <w:rPr>
          <w:rFonts w:hint="eastAsia" w:ascii="宋体" w:hAnsi="宋体" w:eastAsia="宋体" w:cs="宋体"/>
          <w:color w:val="auto"/>
          <w:lang w:val="zh-CN" w:eastAsia="zh-CN"/>
        </w:rPr>
        <w:t>确认宣读的结果。</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5.</w:t>
      </w:r>
      <w:r>
        <w:rPr>
          <w:rFonts w:hint="eastAsia" w:hAnsi="宋体" w:cs="宋体"/>
          <w:color w:val="auto"/>
          <w:lang w:val="zh-CN" w:eastAsia="zh-CN"/>
        </w:rPr>
        <w:t>响应供应商</w:t>
      </w:r>
      <w:r>
        <w:rPr>
          <w:rFonts w:hint="eastAsia" w:ascii="宋体" w:hAnsi="宋体" w:eastAsia="宋体" w:cs="宋体"/>
          <w:color w:val="auto"/>
          <w:lang w:val="zh-CN" w:eastAsia="zh-CN"/>
        </w:rPr>
        <w:t>必须以人民币报价，以其它货币标价的报价将予以拒绝。</w:t>
      </w:r>
      <w:r>
        <w:rPr>
          <w:rFonts w:hint="eastAsia" w:hAnsi="宋体" w:cs="宋体"/>
          <w:color w:val="auto"/>
          <w:lang w:val="zh-CN" w:eastAsia="zh-CN"/>
        </w:rPr>
        <w:t>响应文件</w:t>
      </w:r>
      <w:r>
        <w:rPr>
          <w:rFonts w:hint="eastAsia" w:ascii="宋体" w:hAnsi="宋体" w:eastAsia="宋体" w:cs="宋体"/>
          <w:color w:val="auto"/>
          <w:lang w:val="zh-CN" w:eastAsia="zh-CN"/>
        </w:rPr>
        <w:t>中开标一览表（报价表）内容与</w:t>
      </w:r>
      <w:r>
        <w:rPr>
          <w:rFonts w:hint="eastAsia" w:hAnsi="宋体" w:cs="宋体"/>
          <w:color w:val="auto"/>
          <w:lang w:val="zh-CN" w:eastAsia="zh-CN"/>
        </w:rPr>
        <w:t>响应文件</w:t>
      </w:r>
      <w:r>
        <w:rPr>
          <w:rFonts w:hint="eastAsia" w:ascii="宋体" w:hAnsi="宋体" w:eastAsia="宋体" w:cs="宋体"/>
          <w:color w:val="auto"/>
          <w:lang w:val="zh-CN" w:eastAsia="zh-CN"/>
        </w:rPr>
        <w:t>中相应内容不一致的，以开标一览表（报价表）为准；</w:t>
      </w:r>
      <w:r>
        <w:rPr>
          <w:rFonts w:hint="eastAsia" w:hAnsi="宋体" w:cs="宋体"/>
          <w:color w:val="auto"/>
          <w:lang w:val="zh-CN" w:eastAsia="zh-CN"/>
        </w:rPr>
        <w:t>响应文件</w:t>
      </w:r>
      <w:r>
        <w:rPr>
          <w:rFonts w:hint="eastAsia" w:ascii="宋体" w:hAnsi="宋体" w:eastAsia="宋体" w:cs="宋体"/>
          <w:color w:val="auto"/>
          <w:lang w:val="zh-CN" w:eastAsia="zh-CN"/>
        </w:rPr>
        <w:t>的大写金额和小写金额不一致的，以大写金额为准；总价金额与按单价汇总金额不一致的，以单价金额计算结果为准；单价金额小数点或者百分比有明显错位的，以开标一览表的总价为准，并修改单价；对不同文字文本投标文件的解释发生异议的，以中文文本为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6.</w:t>
      </w:r>
      <w:r>
        <w:rPr>
          <w:rFonts w:hint="eastAsia" w:ascii="宋体" w:hAnsi="宋体" w:eastAsia="宋体" w:cs="宋体"/>
          <w:color w:val="auto"/>
          <w:lang w:val="zh-CN" w:eastAsia="zh-CN"/>
        </w:rPr>
        <w:t>采购代理机构将做报价记录。</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（二）谈判小组</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本次谈判须组建谈判小组，谈判小组的人数和产生详见《</w:t>
      </w:r>
      <w:r>
        <w:rPr>
          <w:rFonts w:hint="eastAsia" w:hAnsi="宋体" w:cs="宋体"/>
          <w:color w:val="auto"/>
          <w:lang w:val="zh-CN" w:eastAsia="zh-CN"/>
        </w:rPr>
        <w:t>响应供应商</w:t>
      </w:r>
      <w:r>
        <w:rPr>
          <w:rFonts w:hint="eastAsia" w:ascii="宋体" w:hAnsi="宋体" w:eastAsia="宋体" w:cs="宋体"/>
          <w:color w:val="auto"/>
          <w:lang w:val="zh-CN" w:eastAsia="zh-CN"/>
        </w:rPr>
        <w:t>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谈判小组将只对确定为实质上响应谈判文件要求的报价，即通过初审的报价进行评价和比较，响应的依据是谈判文件本身的内容，而不寻求其它证据。实质上响应的报价应该是与谈判文件要求的全部主要条款、条件和规格相符，没有重大偏离的报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谈判小组依法根据谈判文件的规定，进行</w:t>
      </w:r>
      <w:r>
        <w:rPr>
          <w:rFonts w:hint="eastAsia" w:hAnsi="宋体" w:cs="宋体"/>
          <w:color w:val="auto"/>
          <w:lang w:val="zh-CN" w:eastAsia="zh-CN"/>
        </w:rPr>
        <w:t>响应文件</w:t>
      </w:r>
      <w:r>
        <w:rPr>
          <w:rFonts w:hint="eastAsia" w:ascii="宋体" w:hAnsi="宋体" w:eastAsia="宋体" w:cs="宋体"/>
          <w:color w:val="auto"/>
          <w:lang w:val="zh-CN" w:eastAsia="zh-CN"/>
        </w:rPr>
        <w:t>的评审，得出评审结果，谈判小组递交评审报告并确定成交供应商。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所有参加评审人员必须遵守国家、地方政府制定的有关招标投标的法则、规定，遵守有关招标投标的保密制度；如有违反者，给予行政处分；情节严重，构成犯罪的，由司法机关依法追究其刑事责任。</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5.</w:t>
      </w:r>
      <w:r>
        <w:rPr>
          <w:rFonts w:hint="eastAsia" w:ascii="宋体" w:hAnsi="宋体" w:eastAsia="宋体" w:cs="宋体"/>
          <w:color w:val="auto"/>
          <w:lang w:val="zh-CN" w:eastAsia="zh-CN"/>
        </w:rPr>
        <w:t>全体参与评审人员</w:t>
      </w:r>
      <w:r>
        <w:rPr>
          <w:rFonts w:hint="eastAsia" w:hAnsi="宋体" w:cs="宋体"/>
          <w:color w:val="auto"/>
          <w:lang w:val="zh-CN" w:eastAsia="zh-CN"/>
        </w:rPr>
        <w:t>应当做到</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）必须遵守评审纪律、不得泄密；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）必须公正、不得徇私；</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3</w:t>
      </w:r>
      <w:r>
        <w:rPr>
          <w:rFonts w:hint="eastAsia" w:ascii="宋体" w:hAnsi="宋体" w:eastAsia="宋体" w:cs="宋体"/>
          <w:color w:val="auto"/>
          <w:lang w:val="zh-CN" w:eastAsia="zh-CN"/>
        </w:rPr>
        <w:t>）必须科学、不得草率；</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4</w:t>
      </w:r>
      <w:r>
        <w:rPr>
          <w:rFonts w:hint="eastAsia" w:ascii="宋体" w:hAnsi="宋体" w:eastAsia="宋体" w:cs="宋体"/>
          <w:color w:val="auto"/>
          <w:lang w:val="zh-CN" w:eastAsia="zh-CN"/>
        </w:rPr>
        <w:t>）必须客观、不得带有成见；</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5</w:t>
      </w:r>
      <w:r>
        <w:rPr>
          <w:rFonts w:hint="eastAsia" w:ascii="宋体" w:hAnsi="宋体" w:eastAsia="宋体" w:cs="宋体"/>
          <w:color w:val="auto"/>
          <w:lang w:val="zh-CN" w:eastAsia="zh-CN"/>
        </w:rPr>
        <w:t>）必须平等、不得强加于人；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6</w:t>
      </w:r>
      <w:r>
        <w:rPr>
          <w:rFonts w:hint="eastAsia" w:ascii="宋体" w:hAnsi="宋体" w:eastAsia="宋体" w:cs="宋体"/>
          <w:color w:val="auto"/>
          <w:lang w:val="zh-CN" w:eastAsia="zh-CN"/>
        </w:rPr>
        <w:t>）必须严谨、不得随意马虎。</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（三）评审过程的保密性</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递交</w:t>
      </w:r>
      <w:r>
        <w:rPr>
          <w:rFonts w:hint="eastAsia" w:hAnsi="宋体" w:cs="宋体"/>
          <w:color w:val="auto"/>
          <w:lang w:val="zh-CN" w:eastAsia="zh-CN"/>
        </w:rPr>
        <w:t>响应文件</w:t>
      </w:r>
      <w:r>
        <w:rPr>
          <w:rFonts w:hint="eastAsia" w:ascii="宋体" w:hAnsi="宋体" w:eastAsia="宋体" w:cs="宋体"/>
          <w:color w:val="auto"/>
          <w:lang w:val="zh-CN" w:eastAsia="zh-CN"/>
        </w:rPr>
        <w:t>后，直至向成交供应商授予合同时止，凡与审查、澄清、评估和比较报价的有关资料以及授标意见等，参与评审工作的有关人员均不得向</w:t>
      </w:r>
      <w:r>
        <w:rPr>
          <w:rFonts w:hint="eastAsia" w:hAnsi="宋体" w:cs="宋体"/>
          <w:color w:val="auto"/>
          <w:lang w:val="zh-CN" w:eastAsia="zh-CN"/>
        </w:rPr>
        <w:t>响应供应商</w:t>
      </w:r>
      <w:r>
        <w:rPr>
          <w:rFonts w:hint="eastAsia" w:ascii="宋体" w:hAnsi="宋体" w:eastAsia="宋体" w:cs="宋体"/>
          <w:color w:val="auto"/>
          <w:lang w:val="zh-CN" w:eastAsia="zh-CN"/>
        </w:rPr>
        <w:t>及与评审无关的其他人透露，否则追究有关当事人的法律责任。</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2</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在评审过程中，如果</w:t>
      </w:r>
      <w:r>
        <w:rPr>
          <w:rFonts w:hint="eastAsia" w:hAnsi="宋体" w:cs="宋体"/>
          <w:color w:val="auto"/>
          <w:lang w:val="zh-CN" w:eastAsia="zh-CN"/>
        </w:rPr>
        <w:t>响应供应商</w:t>
      </w:r>
      <w:r>
        <w:rPr>
          <w:rFonts w:hint="eastAsia" w:ascii="宋体" w:hAnsi="宋体" w:eastAsia="宋体" w:cs="宋体"/>
          <w:color w:val="auto"/>
          <w:lang w:val="zh-CN" w:eastAsia="zh-CN"/>
        </w:rPr>
        <w:t>试图在</w:t>
      </w:r>
      <w:r>
        <w:rPr>
          <w:rFonts w:hint="eastAsia" w:hAnsi="宋体" w:cs="宋体"/>
          <w:color w:val="auto"/>
          <w:lang w:val="zh-CN" w:eastAsia="zh-CN"/>
        </w:rPr>
        <w:t>响应文件</w:t>
      </w:r>
      <w:r>
        <w:rPr>
          <w:rFonts w:hint="eastAsia" w:ascii="宋体" w:hAnsi="宋体" w:eastAsia="宋体" w:cs="宋体"/>
          <w:color w:val="auto"/>
          <w:lang w:val="zh-CN" w:eastAsia="zh-CN"/>
        </w:rPr>
        <w:t>审查、澄清、比较及授予合同方面向采购代理机构和采购人施加任何影响，其</w:t>
      </w:r>
      <w:r>
        <w:rPr>
          <w:rFonts w:hint="eastAsia" w:hAnsi="宋体" w:cs="宋体"/>
          <w:color w:val="auto"/>
          <w:lang w:val="zh-CN" w:eastAsia="zh-CN"/>
        </w:rPr>
        <w:t>响应文件</w:t>
      </w:r>
      <w:r>
        <w:rPr>
          <w:rFonts w:hint="eastAsia" w:ascii="宋体" w:hAnsi="宋体" w:eastAsia="宋体" w:cs="宋体"/>
          <w:color w:val="auto"/>
          <w:lang w:val="zh-CN" w:eastAsia="zh-CN"/>
        </w:rPr>
        <w:t>将被拒绝。</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凡参与评审工作的有关人员均应自觉接受相关政府采购主管部门的监督，不得向他人透露已获得谈判文件的潜在</w:t>
      </w:r>
      <w:r>
        <w:rPr>
          <w:rFonts w:hint="eastAsia" w:hAnsi="宋体" w:cs="宋体"/>
          <w:color w:val="auto"/>
          <w:lang w:val="zh-CN" w:eastAsia="zh-CN"/>
        </w:rPr>
        <w:t>响应供应商</w:t>
      </w:r>
      <w:r>
        <w:rPr>
          <w:rFonts w:hint="eastAsia" w:ascii="宋体" w:hAnsi="宋体" w:eastAsia="宋体" w:cs="宋体"/>
          <w:color w:val="auto"/>
          <w:lang w:val="zh-CN" w:eastAsia="zh-CN"/>
        </w:rPr>
        <w:t>的名称、数量以及可能影响公平竞争的有关报价的其他情况。</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en-US" w:eastAsia="zh-CN"/>
        </w:rPr>
      </w:pPr>
      <w:r>
        <w:rPr>
          <w:rFonts w:hint="eastAsia" w:ascii="宋体" w:hAnsi="宋体" w:eastAsia="宋体" w:cs="宋体"/>
          <w:color w:val="auto"/>
          <w:lang w:val="zh-CN" w:eastAsia="zh-CN"/>
        </w:rPr>
        <w:t>（四）评审</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hAnsi="宋体" w:cs="宋体"/>
          <w:color w:val="auto"/>
          <w:lang w:val="zh-CN" w:eastAsia="zh-CN"/>
        </w:rPr>
        <w:t>详见评审工作大纲。</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bookmarkStart w:id="38" w:name="_Toc382840846"/>
      <w:bookmarkStart w:id="39" w:name="_Toc382926897"/>
      <w:r>
        <w:rPr>
          <w:rFonts w:hint="eastAsia" w:ascii="宋体" w:hAnsi="宋体" w:eastAsia="宋体" w:cs="宋体"/>
          <w:b/>
          <w:bCs/>
          <w:color w:val="auto"/>
          <w:lang w:val="zh-CN" w:eastAsia="zh-CN"/>
        </w:rPr>
        <w:t>七、成交与合同</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（一）成交通知</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hAnsi="宋体" w:cs="宋体"/>
          <w:color w:val="auto"/>
          <w:lang w:val="zh-CN" w:eastAsia="zh-CN"/>
        </w:rPr>
        <w:t>响应文件</w:t>
      </w:r>
      <w:r>
        <w:rPr>
          <w:rFonts w:hint="eastAsia" w:ascii="宋体" w:hAnsi="宋体" w:eastAsia="宋体" w:cs="宋体"/>
          <w:color w:val="auto"/>
          <w:lang w:val="zh-CN" w:eastAsia="zh-CN"/>
        </w:rPr>
        <w:t>有效期期满前，采购代理机构将以书面形式通知成交供应商其</w:t>
      </w:r>
      <w:r>
        <w:rPr>
          <w:rFonts w:hint="eastAsia" w:hAnsi="宋体" w:cs="宋体"/>
          <w:color w:val="auto"/>
          <w:lang w:val="zh-CN" w:eastAsia="zh-CN"/>
        </w:rPr>
        <w:t>响应文件</w:t>
      </w:r>
      <w:r>
        <w:rPr>
          <w:rFonts w:hint="eastAsia" w:ascii="宋体" w:hAnsi="宋体" w:eastAsia="宋体" w:cs="宋体"/>
          <w:color w:val="auto"/>
          <w:lang w:val="zh-CN" w:eastAsia="zh-CN"/>
        </w:rPr>
        <w:t>被接受。</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采购代理机构向成交供应商发出书面通知的同时，采购代理机构通知落选的</w:t>
      </w:r>
      <w:r>
        <w:rPr>
          <w:rFonts w:hint="eastAsia" w:hAnsi="宋体" w:cs="宋体"/>
          <w:color w:val="auto"/>
          <w:lang w:val="zh-CN" w:eastAsia="zh-CN"/>
        </w:rPr>
        <w:t>响应供应商</w:t>
      </w:r>
      <w:r>
        <w:rPr>
          <w:rFonts w:hint="eastAsia" w:ascii="宋体" w:hAnsi="宋体" w:eastAsia="宋体" w:cs="宋体"/>
          <w:color w:val="auto"/>
          <w:lang w:val="zh-CN" w:eastAsia="zh-CN"/>
        </w:rPr>
        <w:t>其</w:t>
      </w:r>
      <w:r>
        <w:rPr>
          <w:rFonts w:hint="eastAsia" w:hAnsi="宋体" w:cs="宋体"/>
          <w:color w:val="auto"/>
          <w:lang w:val="zh-CN" w:eastAsia="zh-CN"/>
        </w:rPr>
        <w:t>响应文件</w:t>
      </w:r>
      <w:r>
        <w:rPr>
          <w:rFonts w:hint="eastAsia" w:ascii="宋体" w:hAnsi="宋体" w:eastAsia="宋体" w:cs="宋体"/>
          <w:color w:val="auto"/>
          <w:lang w:val="zh-CN" w:eastAsia="zh-CN"/>
        </w:rPr>
        <w:t>未被接受而不提原因。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成交通知书是合同的一个组成部分。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成交供应商如在收到采购结果通知后15日内不按规定领取成交通知书，则视为自动放弃成交资格，并按政府采购相关法律法规追究其相关责任。</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（二）授予合同</w:t>
      </w:r>
      <w:bookmarkEnd w:id="38"/>
      <w:bookmarkEnd w:id="39"/>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授予合同的准则</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采购人将合同授予其</w:t>
      </w:r>
      <w:r>
        <w:rPr>
          <w:rFonts w:hint="eastAsia" w:hAnsi="宋体" w:cs="宋体"/>
          <w:color w:val="auto"/>
          <w:lang w:val="zh-CN" w:eastAsia="zh-CN"/>
        </w:rPr>
        <w:t>响应文件</w:t>
      </w:r>
      <w:r>
        <w:rPr>
          <w:rFonts w:hint="eastAsia" w:ascii="宋体" w:hAnsi="宋体" w:eastAsia="宋体" w:cs="宋体"/>
          <w:color w:val="auto"/>
          <w:lang w:val="zh-CN" w:eastAsia="zh-CN"/>
        </w:rPr>
        <w:t>符合谈判文件要求，并且能承诺履行合同，对采购人最为有利的</w:t>
      </w:r>
      <w:r>
        <w:rPr>
          <w:rFonts w:hint="eastAsia" w:hAnsi="宋体" w:cs="宋体"/>
          <w:color w:val="auto"/>
          <w:lang w:val="zh-CN" w:eastAsia="zh-CN"/>
        </w:rPr>
        <w:t>响应供应商</w:t>
      </w:r>
      <w:r>
        <w:rPr>
          <w:rFonts w:hint="eastAsia" w:ascii="宋体" w:hAnsi="宋体" w:eastAsia="宋体" w:cs="宋体"/>
          <w:color w:val="auto"/>
          <w:lang w:val="zh-CN"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（三）合同的订立和履行</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采购代理机构通知成交供应商成交时，将提供谈判文件中的合同格式（包括双方之间的有关协议）给成交供应商。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成交供应商在自《成交通知书》发出之日起 30日内，应派授权代表前往《报价须知前附表》注明的地点与采购人按谈判文件要求和成交供应商</w:t>
      </w:r>
      <w:r>
        <w:rPr>
          <w:rFonts w:hint="eastAsia" w:hAnsi="宋体" w:cs="宋体"/>
          <w:color w:val="auto"/>
          <w:lang w:val="zh-CN" w:eastAsia="zh-CN"/>
        </w:rPr>
        <w:t>响应文件</w:t>
      </w:r>
      <w:r>
        <w:rPr>
          <w:rFonts w:hint="eastAsia" w:ascii="宋体" w:hAnsi="宋体" w:eastAsia="宋体" w:cs="宋体"/>
          <w:color w:val="auto"/>
          <w:lang w:val="zh-CN" w:eastAsia="zh-CN"/>
        </w:rPr>
        <w:t>承诺签定政府采购合同，合同签订内容不得超出谈判文件和成交供应商</w:t>
      </w:r>
      <w:r>
        <w:rPr>
          <w:rFonts w:hint="eastAsia" w:hAnsi="宋体" w:cs="宋体"/>
          <w:color w:val="auto"/>
          <w:lang w:val="zh-CN" w:eastAsia="zh-CN"/>
        </w:rPr>
        <w:t>响应文件</w:t>
      </w:r>
      <w:r>
        <w:rPr>
          <w:rFonts w:hint="eastAsia" w:ascii="宋体" w:hAnsi="宋体" w:eastAsia="宋体" w:cs="宋体"/>
          <w:color w:val="auto"/>
          <w:lang w:val="zh-CN" w:eastAsia="zh-CN"/>
        </w:rPr>
        <w:t>的范围、也不得再行订立背离合同实质性内容的其他协议。</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采购合同订立后，合同各方不得擅自变更、中止或者终止合同。合同需要变更的，采购人应将有关合同变更内容，以书面形式报监督管理机关备案；因特殊情况需要中止或终止合同的，采购人应将中止或终止合同的理由以及相应措施，以书面形式报监督管理机关备案。</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采购合同履行中，采购人需追加与合同标的相同的货物（或服务），在不改变合同其他条款的前提下，可以与供应商签订补充合同，但所补充合同的采购金额不得超过原采购金额的百分之十。</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（四）采购人在授予合同时变更采购货物（或服务）数量的权利</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采购合同履行中，采购人需追加与合同标的相同的货物、工程或者服务的，在不改变合同其他条款的前提下，可以与供应商签订补充合同，但所补充合同的采购金额不得超过《报价资料表》规定的幅度，以成交供应商报价的单价进行计算。</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（五）发票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获得成交的成交供应商在执行合同过程中，向采购人出具的发票必须是由成交供应商开具，不得以其他单位或个人名义出具。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r>
        <w:rPr>
          <w:rFonts w:hint="eastAsia" w:ascii="宋体" w:hAnsi="宋体" w:eastAsia="宋体" w:cs="宋体"/>
          <w:b/>
          <w:bCs/>
          <w:color w:val="auto"/>
          <w:lang w:val="zh-CN" w:eastAsia="zh-CN"/>
        </w:rPr>
        <w:t>八、履约保证金（本项目不适用）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成交供应商应在签署合同后10天内提交履约保证金，履约保证金金额应按《投标须知前附表》中规定的金额。提交方式可按照下述方式提交：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1）履约保证金采用电汇、转帐方式提交( 注明成交通知书编号)。成交供应商必须保证资金在签订合同后的十个日历日内到账,以银行收到为准）。保证金汇入采购人指定的履约保证金专用账户，待项目验收合格及结算完毕后，采购人将把履约保证金无息退还成交供应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2）采用履约保函方式：应按照合同条款的规定，向采购人提交由银行支行及以上机构出具的履约保函。保函格式如与招标文件格式不相符则要事先征求采购人书面同意才视为有效。履约保函的有效期为自生效日期起至该项目验收合格及结算完毕后28日内有效。若项目未能按期完工，保函必须延期，延期银行费用由成交供应商负责。如果成交供应商提供的履约保函的有效期先于招标文件要求的履约保函有效期到达，成交供应商应在原提交的履约保函有效期满前15天内，无条件办理履约保函延期手续，否则视为成交供应商违约，采购人可在履约保函到期前将履约保函金额转为现金存入履约保证金账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3）采购人认可的其它方式。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如果成交供应商没有按照上述规定执行，采购人和采购代理机构将有充分理由取消该成交决定，并没收其</w:t>
      </w:r>
      <w:r>
        <w:rPr>
          <w:rFonts w:hint="eastAsia" w:hAnsi="宋体" w:cs="宋体"/>
          <w:color w:val="auto"/>
          <w:lang w:val="zh-CN" w:eastAsia="zh-CN"/>
        </w:rPr>
        <w:t>响应保证金</w:t>
      </w:r>
      <w:r>
        <w:rPr>
          <w:rFonts w:hint="eastAsia" w:ascii="宋体" w:hAnsi="宋体" w:eastAsia="宋体" w:cs="宋体"/>
          <w:color w:val="auto"/>
          <w:lang w:val="zh-CN" w:eastAsia="zh-CN"/>
        </w:rPr>
        <w:t>。在此情况下采购人可将成交资格授予下一个成交供应商或重新采购。</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r>
        <w:rPr>
          <w:rFonts w:hint="eastAsia" w:ascii="宋体" w:hAnsi="宋体" w:eastAsia="宋体" w:cs="宋体"/>
          <w:b/>
          <w:bCs/>
          <w:color w:val="auto"/>
          <w:lang w:val="zh-CN" w:eastAsia="zh-CN"/>
        </w:rPr>
        <w:t>九、成交服务费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成交服务费详见《报价须知前附表》。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成交供应商收到成交通知后，须在5个工作日内向采购代理机构缴纳成交服务费用及领取《成交通知书》原件，否则视为放弃成交权利和义务，采购代理机构将没收其</w:t>
      </w:r>
      <w:r>
        <w:rPr>
          <w:rFonts w:hint="eastAsia" w:hAnsi="宋体" w:cs="宋体"/>
          <w:color w:val="auto"/>
          <w:lang w:val="zh-CN" w:eastAsia="zh-CN"/>
        </w:rPr>
        <w:t>响应保证金</w:t>
      </w:r>
      <w:r>
        <w:rPr>
          <w:rFonts w:hint="eastAsia" w:ascii="宋体" w:hAnsi="宋体" w:eastAsia="宋体" w:cs="宋体"/>
          <w:color w:val="auto"/>
          <w:lang w:val="zh-CN" w:eastAsia="zh-CN"/>
        </w:rPr>
        <w:t>，并按政府采购的有关规定上缴国库。</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3.</w:t>
      </w:r>
      <w:r>
        <w:rPr>
          <w:rFonts w:hint="eastAsia" w:ascii="宋体" w:hAnsi="宋体" w:eastAsia="宋体" w:cs="宋体"/>
          <w:color w:val="auto"/>
          <w:lang w:val="zh-CN" w:eastAsia="zh-CN"/>
        </w:rPr>
        <w:t>成交服务费只收银行转帐或电汇。</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4.</w:t>
      </w:r>
      <w:r>
        <w:rPr>
          <w:rFonts w:hint="eastAsia" w:ascii="宋体" w:hAnsi="宋体" w:eastAsia="宋体" w:cs="宋体"/>
          <w:color w:val="auto"/>
          <w:lang w:val="zh-CN" w:eastAsia="zh-CN"/>
        </w:rPr>
        <w:t>成交服务费不在报价中单列。</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b/>
          <w:bCs/>
          <w:color w:val="auto"/>
          <w:lang w:val="zh-CN" w:eastAsia="zh-CN"/>
        </w:rPr>
      </w:pPr>
      <w:r>
        <w:rPr>
          <w:rFonts w:hint="eastAsia" w:ascii="宋体" w:hAnsi="宋体" w:eastAsia="宋体" w:cs="宋体"/>
          <w:b/>
          <w:bCs/>
          <w:color w:val="auto"/>
          <w:lang w:val="zh-CN" w:eastAsia="zh-CN"/>
        </w:rPr>
        <w:t>十、询问与质疑</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1.询问</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供应商对采购活动事项（谈判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t>2.</w:t>
      </w:r>
      <w:r>
        <w:rPr>
          <w:rFonts w:hint="eastAsia" w:ascii="宋体" w:hAnsi="宋体" w:eastAsia="宋体" w:cs="宋体"/>
          <w:color w:val="auto"/>
          <w:lang w:val="zh-CN" w:eastAsia="zh-CN"/>
        </w:rPr>
        <w:t>质疑</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en-US" w:eastAsia="zh-CN"/>
        </w:rPr>
        <w:t>1.</w:t>
      </w:r>
      <w:r>
        <w:rPr>
          <w:rFonts w:hint="eastAsia" w:ascii="宋体" w:hAnsi="宋体" w:eastAsia="宋体" w:cs="宋体"/>
          <w:color w:val="auto"/>
          <w:lang w:val="zh-CN" w:eastAsia="zh-CN"/>
        </w:rPr>
        <w:t>如果</w:t>
      </w:r>
      <w:r>
        <w:rPr>
          <w:rFonts w:hint="eastAsia" w:hAnsi="宋体" w:cs="宋体"/>
          <w:color w:val="auto"/>
          <w:lang w:val="zh-CN" w:eastAsia="zh-CN"/>
        </w:rPr>
        <w:t>响应供应商</w:t>
      </w:r>
      <w:r>
        <w:rPr>
          <w:rFonts w:hint="eastAsia" w:ascii="宋体" w:hAnsi="宋体" w:eastAsia="宋体" w:cs="宋体"/>
          <w:color w:val="auto"/>
          <w:lang w:val="zh-CN" w:eastAsia="zh-CN"/>
        </w:rPr>
        <w:t>对此次采购活动有疑问，可在本谈判文件规定的质疑期内依法向采购代理机构提出质疑，对同一采购程序环节的质疑须一次性提出。采购代理机构应当依法给与答复，并将结果告知有关当事人。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bookmarkStart w:id="40" w:name="_Toc382926898"/>
      <w:r>
        <w:rPr>
          <w:rFonts w:hint="eastAsia" w:ascii="宋体" w:hAnsi="宋体" w:eastAsia="宋体" w:cs="宋体"/>
          <w:color w:val="auto"/>
          <w:lang w:val="en-US" w:eastAsia="zh-CN"/>
        </w:rPr>
        <w:t>2.</w:t>
      </w:r>
      <w:r>
        <w:rPr>
          <w:rFonts w:hint="eastAsia" w:ascii="宋体" w:hAnsi="宋体" w:eastAsia="宋体" w:cs="宋体"/>
          <w:color w:val="auto"/>
          <w:lang w:val="zh-CN" w:eastAsia="zh-CN"/>
        </w:rPr>
        <w:t>质疑人提交的质疑材料应符合以下要求</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（1）应当递交质疑函原件。内容包括：</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a、质疑人全称、法定代表人、地址、传真、有效联系人和联系电话等基本情况；</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b、质疑的具体事项、明确的请求和主张；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c、认为采购过程或采购结果使自己的合法权益受到损害的事实依据与具体理由，所依据的有关法律法规、规章制度名称及具体条款的内容；</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d、质疑函应当由法定代表人签名并加盖公章；</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e、提起质疑的日期。</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F、以电报、电话、传真、邮寄和电子文件和电子邮件等形式的质疑，采购机构将作为不受理的依据。</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（2）应当递交相关证据材料。质疑人应当在证据材料上署名并加盖公章。如涉及产品功能或技术指标的，质疑人应当出具相关制造商的证明文件原件。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（3）应递交身份证明文件。包括：</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a、加盖质疑人公章的营业执照复印件；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b、加盖质疑人公章的法定代表人证明书原件及法定代表人身份证复印件；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c、质疑人委托代理人办理质疑事务的，还应当递交质疑人的授权委托书原件以及委托代理人的身份证复印件（核对原件）。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 xml:space="preserve"> </w:t>
      </w:r>
    </w:p>
    <w:p>
      <w:pPr>
        <w:kinsoku/>
        <w:overflowPunct/>
        <w:topLinePunct w:val="0"/>
        <w:bidi w:val="0"/>
        <w:outlineLvl w:val="9"/>
        <w:rPr>
          <w:rFonts w:hint="eastAsia"/>
          <w:color w:val="auto"/>
          <w:lang w:val="zh-CN" w:eastAsia="zh-CN"/>
        </w:rPr>
      </w:pPr>
      <w:r>
        <w:rPr>
          <w:rFonts w:hint="eastAsia"/>
          <w:color w:val="auto"/>
          <w:lang w:val="zh-CN" w:eastAsia="zh-CN"/>
        </w:rPr>
        <w:br w:type="page"/>
      </w:r>
    </w:p>
    <w:p>
      <w:pPr>
        <w:keepNext/>
        <w:keepLines/>
        <w:pageBreakBefore/>
        <w:widowControl w:val="0"/>
        <w:tabs>
          <w:tab w:val="left" w:pos="1080"/>
        </w:tabs>
        <w:kinsoku/>
        <w:wordWrap/>
        <w:overflowPunct/>
        <w:topLinePunct w:val="0"/>
        <w:autoSpaceDE w:val="0"/>
        <w:autoSpaceDN w:val="0"/>
        <w:bidi w:val="0"/>
        <w:adjustRightInd w:val="0"/>
        <w:snapToGrid/>
        <w:spacing w:line="460" w:lineRule="exact"/>
        <w:ind w:left="0" w:firstLine="632" w:firstLineChars="200"/>
        <w:jc w:val="center"/>
        <w:textAlignment w:val="auto"/>
        <w:outlineLvl w:val="0"/>
        <w:rPr>
          <w:rFonts w:hint="eastAsia" w:ascii="宋体" w:hAnsi="宋体" w:eastAsia="宋体" w:cs="Times New Roman"/>
          <w:b/>
          <w:bCs/>
          <w:color w:val="auto"/>
          <w:kern w:val="44"/>
          <w:sz w:val="32"/>
          <w:szCs w:val="32"/>
          <w:lang w:val="zh-CN"/>
        </w:rPr>
      </w:pPr>
      <w:bookmarkStart w:id="41" w:name="_Toc3433"/>
      <w:r>
        <w:rPr>
          <w:rFonts w:hint="eastAsia" w:hAnsi="宋体"/>
          <w:b/>
          <w:bCs/>
          <w:color w:val="auto"/>
          <w:kern w:val="44"/>
          <w:sz w:val="32"/>
          <w:szCs w:val="32"/>
          <w:lang w:val="zh-CN"/>
        </w:rPr>
        <w:br w:type="textWrapping"/>
      </w:r>
      <w:r>
        <w:rPr>
          <w:rFonts w:hint="eastAsia" w:ascii="宋体" w:hAnsi="宋体" w:eastAsia="宋体" w:cs="Times New Roman"/>
          <w:b/>
          <w:bCs/>
          <w:color w:val="auto"/>
          <w:kern w:val="44"/>
          <w:sz w:val="32"/>
          <w:szCs w:val="32"/>
          <w:lang w:val="zh-CN"/>
        </w:rPr>
        <w:t>第三篇  采购需求</w:t>
      </w:r>
      <w:bookmarkEnd w:id="41"/>
    </w:p>
    <w:p>
      <w:pPr>
        <w:kinsoku/>
        <w:overflowPunct/>
        <w:topLinePunct w:val="0"/>
        <w:bidi w:val="0"/>
        <w:jc w:val="center"/>
        <w:outlineLvl w:val="9"/>
        <w:rPr>
          <w:rFonts w:hint="eastAsia"/>
          <w:b/>
          <w:bCs/>
          <w:color w:val="auto"/>
          <w:sz w:val="30"/>
          <w:szCs w:val="30"/>
        </w:rPr>
      </w:pP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b/>
          <w:bCs/>
          <w:color w:val="auto"/>
          <w:sz w:val="24"/>
          <w:szCs w:val="24"/>
          <w:lang w:eastAsia="zh-CN"/>
        </w:rPr>
      </w:pPr>
      <w:r>
        <w:rPr>
          <w:rFonts w:hint="eastAsia"/>
          <w:b/>
          <w:bCs/>
          <w:color w:val="auto"/>
          <w:sz w:val="24"/>
          <w:szCs w:val="24"/>
          <w:lang w:eastAsia="zh-CN"/>
        </w:rPr>
        <w:t>一、采购项目内容</w:t>
      </w:r>
    </w:p>
    <w:tbl>
      <w:tblPr>
        <w:tblStyle w:val="22"/>
        <w:tblW w:w="8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1"/>
        <w:gridCol w:w="1319"/>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34" w:hRule="atLeast"/>
        </w:trPr>
        <w:tc>
          <w:tcPr>
            <w:tcW w:w="4911" w:type="dxa"/>
            <w:vAlign w:val="center"/>
          </w:tcPr>
          <w:p>
            <w:pPr>
              <w:kinsoku/>
              <w:overflowPunct/>
              <w:topLinePunct w:val="0"/>
              <w:bidi w:val="0"/>
              <w:jc w:val="center"/>
              <w:outlineLvl w:val="9"/>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项目内容</w:t>
            </w:r>
          </w:p>
        </w:tc>
        <w:tc>
          <w:tcPr>
            <w:tcW w:w="1319" w:type="dxa"/>
            <w:vAlign w:val="center"/>
          </w:tcPr>
          <w:p>
            <w:pPr>
              <w:kinsoku/>
              <w:overflowPunct/>
              <w:topLinePunct w:val="0"/>
              <w:bidi w:val="0"/>
              <w:jc w:val="center"/>
              <w:outlineLvl w:val="9"/>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供货期</w:t>
            </w:r>
          </w:p>
        </w:tc>
        <w:tc>
          <w:tcPr>
            <w:tcW w:w="2715" w:type="dxa"/>
            <w:vAlign w:val="center"/>
          </w:tcPr>
          <w:p>
            <w:pPr>
              <w:kinsoku/>
              <w:overflowPunct/>
              <w:topLinePunct w:val="0"/>
              <w:bidi w:val="0"/>
              <w:jc w:val="center"/>
              <w:outlineLvl w:val="9"/>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4911" w:type="dxa"/>
            <w:vAlign w:val="center"/>
          </w:tcPr>
          <w:p>
            <w:pPr>
              <w:kinsoku/>
              <w:overflowPunct/>
              <w:topLinePunct w:val="0"/>
              <w:bidi w:val="0"/>
              <w:jc w:val="center"/>
              <w:outlineLvl w:val="9"/>
              <w:rPr>
                <w:rFonts w:hint="eastAsia" w:ascii="宋体" w:hAnsi="宋体" w:eastAsia="宋体" w:cs="宋体"/>
                <w:b w:val="0"/>
                <w:bCs w:val="0"/>
                <w:color w:val="auto"/>
                <w:sz w:val="24"/>
                <w:szCs w:val="24"/>
                <w:vertAlign w:val="baseline"/>
                <w:lang w:eastAsia="zh-CN"/>
              </w:rPr>
            </w:pPr>
            <w:r>
              <w:rPr>
                <w:rFonts w:hint="eastAsia" w:ascii="宋体" w:hAnsi="宋体" w:eastAsia="宋体" w:cs="宋体"/>
                <w:b w:val="0"/>
                <w:bCs w:val="0"/>
                <w:color w:val="auto"/>
                <w:sz w:val="24"/>
                <w:szCs w:val="24"/>
                <w:vertAlign w:val="baseline"/>
                <w:lang w:eastAsia="zh-CN"/>
              </w:rPr>
              <w:t>洗衣房洗涤用品</w:t>
            </w:r>
          </w:p>
        </w:tc>
        <w:tc>
          <w:tcPr>
            <w:tcW w:w="1319" w:type="dxa"/>
            <w:vAlign w:val="center"/>
          </w:tcPr>
          <w:p>
            <w:pPr>
              <w:kinsoku/>
              <w:overflowPunct/>
              <w:topLinePunct w:val="0"/>
              <w:bidi w:val="0"/>
              <w:jc w:val="center"/>
              <w:outlineLvl w:val="9"/>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3年</w:t>
            </w:r>
          </w:p>
        </w:tc>
        <w:tc>
          <w:tcPr>
            <w:tcW w:w="2715" w:type="dxa"/>
            <w:vAlign w:val="center"/>
          </w:tcPr>
          <w:p>
            <w:pPr>
              <w:kinsoku/>
              <w:overflowPunct/>
              <w:topLinePunct w:val="0"/>
              <w:bidi w:val="0"/>
              <w:jc w:val="center"/>
              <w:outlineLvl w:val="9"/>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eastAsia="zh-CN"/>
              </w:rPr>
              <w:t>人民币</w:t>
            </w:r>
            <w:r>
              <w:rPr>
                <w:rFonts w:hint="eastAsia" w:ascii="宋体" w:hAnsi="宋体" w:eastAsia="宋体" w:cs="宋体"/>
                <w:b w:val="0"/>
                <w:bCs w:val="0"/>
                <w:color w:val="auto"/>
                <w:sz w:val="24"/>
                <w:szCs w:val="24"/>
                <w:vertAlign w:val="baseline"/>
                <w:lang w:val="en-US" w:eastAsia="zh-CN"/>
              </w:rPr>
              <w:t>30万元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供应需求</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1.洗涤范围：全院医护人员工作服、病人被服、手术布类等医用织物的体液、药渍及其他污渍。</w:t>
      </w:r>
    </w:p>
    <w:tbl>
      <w:tblPr>
        <w:tblStyle w:val="22"/>
        <w:tblpPr w:leftFromText="180" w:rightFromText="180" w:vertAnchor="text" w:horzAnchor="page" w:tblpX="1447" w:tblpY="1380"/>
        <w:tblOverlap w:val="never"/>
        <w:tblW w:w="8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2055"/>
        <w:gridCol w:w="1430"/>
        <w:gridCol w:w="1119"/>
        <w:gridCol w:w="146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1301"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产品名称</w:t>
            </w:r>
          </w:p>
        </w:tc>
        <w:tc>
          <w:tcPr>
            <w:tcW w:w="2055"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主要成分</w:t>
            </w:r>
          </w:p>
        </w:tc>
        <w:tc>
          <w:tcPr>
            <w:tcW w:w="1430"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功能</w:t>
            </w:r>
          </w:p>
        </w:tc>
        <w:tc>
          <w:tcPr>
            <w:tcW w:w="1119"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规格</w:t>
            </w:r>
          </w:p>
        </w:tc>
        <w:tc>
          <w:tcPr>
            <w:tcW w:w="1460"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预计用量</w:t>
            </w:r>
          </w:p>
        </w:tc>
        <w:tc>
          <w:tcPr>
            <w:tcW w:w="1580"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eastAsiaTheme="minorEastAsia"/>
                <w:b/>
                <w:bCs/>
                <w:color w:val="auto"/>
                <w:sz w:val="24"/>
                <w:szCs w:val="24"/>
                <w:vertAlign w:val="baseline"/>
                <w:lang w:val="en-US" w:eastAsia="zh-CN"/>
              </w:rPr>
            </w:pPr>
            <w:r>
              <w:rPr>
                <w:rFonts w:hint="eastAsia"/>
                <w:b/>
                <w:bCs/>
                <w:color w:val="auto"/>
                <w:sz w:val="24"/>
                <w:szCs w:val="24"/>
                <w:vertAlign w:val="baseline"/>
                <w:lang w:val="en-US"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301"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漂白消毒剂</w:t>
            </w:r>
          </w:p>
        </w:tc>
        <w:tc>
          <w:tcPr>
            <w:tcW w:w="2055"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outlineLvl w:val="9"/>
              <w:rPr>
                <w:rFonts w:hint="default"/>
                <w:color w:val="auto"/>
                <w:sz w:val="24"/>
                <w:szCs w:val="24"/>
                <w:vertAlign w:val="baseline"/>
                <w:lang w:val="en-US" w:eastAsia="zh-CN"/>
              </w:rPr>
            </w:pPr>
            <w:r>
              <w:rPr>
                <w:rFonts w:hint="eastAsia"/>
                <w:color w:val="auto"/>
                <w:sz w:val="24"/>
                <w:szCs w:val="24"/>
                <w:vertAlign w:val="baseline"/>
                <w:lang w:val="en-US" w:eastAsia="zh-CN"/>
              </w:rPr>
              <w:t>次氯酸钠和表面活性剂，有效氯含量</w:t>
            </w:r>
            <w:r>
              <w:rPr>
                <w:rFonts w:hint="default" w:ascii="Arial" w:hAnsi="Arial" w:cs="Arial"/>
                <w:color w:val="auto"/>
                <w:sz w:val="24"/>
                <w:szCs w:val="24"/>
                <w:vertAlign w:val="baseline"/>
                <w:lang w:val="en-US" w:eastAsia="zh-CN"/>
              </w:rPr>
              <w:t>≥</w:t>
            </w:r>
            <w:r>
              <w:rPr>
                <w:rFonts w:hint="eastAsia"/>
                <w:color w:val="auto"/>
                <w:sz w:val="24"/>
                <w:szCs w:val="24"/>
                <w:vertAlign w:val="baseline"/>
                <w:lang w:val="en-US" w:eastAsia="zh-CN"/>
              </w:rPr>
              <w:t>10%</w:t>
            </w:r>
          </w:p>
        </w:tc>
        <w:tc>
          <w:tcPr>
            <w:tcW w:w="143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color w:val="auto"/>
                <w:sz w:val="24"/>
                <w:szCs w:val="24"/>
                <w:vertAlign w:val="baseline"/>
                <w:lang w:val="en-US" w:eastAsia="zh-CN"/>
              </w:rPr>
            </w:pPr>
            <w:r>
              <w:rPr>
                <w:rFonts w:hint="eastAsia"/>
                <w:color w:val="auto"/>
                <w:sz w:val="24"/>
                <w:szCs w:val="24"/>
                <w:vertAlign w:val="baseline"/>
                <w:lang w:val="en-US" w:eastAsia="zh-CN"/>
              </w:rPr>
              <w:t>去污、杀菌</w:t>
            </w:r>
          </w:p>
        </w:tc>
        <w:tc>
          <w:tcPr>
            <w:tcW w:w="1119"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default"/>
                <w:color w:val="auto"/>
                <w:sz w:val="24"/>
                <w:szCs w:val="24"/>
                <w:vertAlign w:val="baseline"/>
                <w:lang w:val="en-US" w:eastAsia="zh-CN"/>
              </w:rPr>
            </w:pPr>
            <w:r>
              <w:rPr>
                <w:rFonts w:hint="eastAsia"/>
                <w:color w:val="auto"/>
                <w:sz w:val="24"/>
                <w:szCs w:val="24"/>
                <w:vertAlign w:val="baseline"/>
                <w:lang w:val="en-US" w:eastAsia="zh-CN"/>
              </w:rPr>
              <w:t>25KG/桶</w:t>
            </w:r>
          </w:p>
        </w:tc>
        <w:tc>
          <w:tcPr>
            <w:tcW w:w="146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default"/>
                <w:color w:val="auto"/>
                <w:sz w:val="24"/>
                <w:szCs w:val="24"/>
                <w:vertAlign w:val="baseline"/>
                <w:lang w:val="en-US" w:eastAsia="zh-CN"/>
              </w:rPr>
            </w:pPr>
            <w:r>
              <w:rPr>
                <w:rFonts w:hint="eastAsia"/>
                <w:color w:val="auto"/>
                <w:sz w:val="24"/>
                <w:szCs w:val="24"/>
                <w:vertAlign w:val="baseline"/>
                <w:lang w:val="en-US" w:eastAsia="zh-CN"/>
              </w:rPr>
              <w:t>40桶/月</w:t>
            </w:r>
          </w:p>
        </w:tc>
        <w:tc>
          <w:tcPr>
            <w:tcW w:w="158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default"/>
                <w:color w:val="auto"/>
                <w:sz w:val="24"/>
                <w:szCs w:val="24"/>
                <w:vertAlign w:val="baseline"/>
                <w:lang w:val="en-US" w:eastAsia="zh-CN"/>
              </w:rPr>
            </w:pPr>
            <w:r>
              <w:rPr>
                <w:rFonts w:hint="eastAsia"/>
                <w:color w:val="auto"/>
                <w:sz w:val="24"/>
                <w:szCs w:val="24"/>
                <w:vertAlign w:val="baseline"/>
                <w:lang w:val="en-US" w:eastAsia="zh-CN"/>
              </w:rPr>
              <w:t>68元/桶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1301"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洗衣液</w:t>
            </w:r>
          </w:p>
        </w:tc>
        <w:tc>
          <w:tcPr>
            <w:tcW w:w="2055"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color w:val="auto"/>
                <w:sz w:val="24"/>
                <w:szCs w:val="24"/>
                <w:vertAlign w:val="baseline"/>
                <w:lang w:val="en-US" w:eastAsia="zh-CN"/>
              </w:rPr>
            </w:pPr>
            <w:r>
              <w:rPr>
                <w:rFonts w:hint="eastAsia"/>
                <w:color w:val="auto"/>
                <w:sz w:val="24"/>
                <w:szCs w:val="24"/>
                <w:vertAlign w:val="baseline"/>
                <w:lang w:val="en-US" w:eastAsia="zh-CN"/>
              </w:rPr>
              <w:t>非离子表面活性剂等（PH6.5-7.5）</w:t>
            </w:r>
          </w:p>
        </w:tc>
        <w:tc>
          <w:tcPr>
            <w:tcW w:w="143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color w:val="auto"/>
                <w:sz w:val="24"/>
                <w:szCs w:val="24"/>
                <w:vertAlign w:val="baseline"/>
                <w:lang w:val="en-US" w:eastAsia="zh-CN"/>
              </w:rPr>
            </w:pPr>
            <w:r>
              <w:rPr>
                <w:rFonts w:hint="eastAsia"/>
                <w:color w:val="auto"/>
                <w:sz w:val="24"/>
                <w:szCs w:val="24"/>
                <w:vertAlign w:val="baseline"/>
                <w:lang w:val="en-US" w:eastAsia="zh-CN"/>
              </w:rPr>
              <w:t>强力去污迹</w:t>
            </w:r>
          </w:p>
        </w:tc>
        <w:tc>
          <w:tcPr>
            <w:tcW w:w="1119"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color w:val="auto"/>
                <w:sz w:val="24"/>
                <w:szCs w:val="24"/>
                <w:vertAlign w:val="baseline"/>
                <w:lang w:val="en-US" w:eastAsia="zh-CN"/>
              </w:rPr>
            </w:pPr>
            <w:r>
              <w:rPr>
                <w:rFonts w:hint="eastAsia"/>
                <w:color w:val="auto"/>
                <w:sz w:val="24"/>
                <w:szCs w:val="24"/>
                <w:vertAlign w:val="baseline"/>
                <w:lang w:val="en-US" w:eastAsia="zh-CN"/>
              </w:rPr>
              <w:t>25KG/桶</w:t>
            </w:r>
          </w:p>
        </w:tc>
        <w:tc>
          <w:tcPr>
            <w:tcW w:w="146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default"/>
                <w:color w:val="auto"/>
                <w:sz w:val="24"/>
                <w:szCs w:val="24"/>
                <w:vertAlign w:val="baseline"/>
                <w:lang w:val="en-US" w:eastAsia="zh-CN"/>
              </w:rPr>
            </w:pPr>
            <w:r>
              <w:rPr>
                <w:rFonts w:hint="eastAsia"/>
                <w:color w:val="auto"/>
                <w:sz w:val="24"/>
                <w:szCs w:val="24"/>
                <w:vertAlign w:val="baseline"/>
                <w:lang w:val="en-US" w:eastAsia="zh-CN"/>
              </w:rPr>
              <w:t>25桶/月</w:t>
            </w:r>
          </w:p>
        </w:tc>
        <w:tc>
          <w:tcPr>
            <w:tcW w:w="158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default"/>
                <w:color w:val="auto"/>
                <w:sz w:val="24"/>
                <w:szCs w:val="24"/>
                <w:vertAlign w:val="baseline"/>
                <w:lang w:val="en-US" w:eastAsia="zh-CN"/>
              </w:rPr>
            </w:pPr>
            <w:r>
              <w:rPr>
                <w:rFonts w:hint="eastAsia"/>
                <w:color w:val="auto"/>
                <w:sz w:val="24"/>
                <w:szCs w:val="24"/>
                <w:vertAlign w:val="baseline"/>
                <w:lang w:val="en-US" w:eastAsia="zh-CN"/>
              </w:rPr>
              <w:t>196元/桶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1301"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bCs/>
                <w:color w:val="auto"/>
                <w:sz w:val="24"/>
                <w:szCs w:val="24"/>
                <w:vertAlign w:val="baseline"/>
                <w:lang w:val="en-US" w:eastAsia="zh-CN"/>
              </w:rPr>
              <w:t>衣领净</w:t>
            </w:r>
          </w:p>
        </w:tc>
        <w:tc>
          <w:tcPr>
            <w:tcW w:w="2055"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表面活性剂、溶剂、助洗剂等</w:t>
            </w:r>
          </w:p>
        </w:tc>
        <w:tc>
          <w:tcPr>
            <w:tcW w:w="143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去污、去渍</w:t>
            </w:r>
          </w:p>
        </w:tc>
        <w:tc>
          <w:tcPr>
            <w:tcW w:w="1119"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Style w:val="71"/>
                <w:rFonts w:eastAsia="宋体"/>
                <w:color w:val="auto"/>
                <w:sz w:val="24"/>
                <w:szCs w:val="24"/>
                <w:lang w:val="en-US" w:eastAsia="zh-CN" w:bidi="ar"/>
              </w:rPr>
              <w:t>5L</w:t>
            </w:r>
            <w:r>
              <w:rPr>
                <w:rFonts w:hint="eastAsia"/>
                <w:b w:val="0"/>
                <w:bCs w:val="0"/>
                <w:color w:val="auto"/>
                <w:sz w:val="24"/>
                <w:szCs w:val="24"/>
                <w:vertAlign w:val="baseline"/>
                <w:lang w:val="en-US" w:eastAsia="zh-CN"/>
              </w:rPr>
              <w:t>/瓶</w:t>
            </w:r>
          </w:p>
        </w:tc>
        <w:tc>
          <w:tcPr>
            <w:tcW w:w="146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2瓶/月</w:t>
            </w:r>
          </w:p>
        </w:tc>
        <w:tc>
          <w:tcPr>
            <w:tcW w:w="158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138元/瓶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01"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b/>
                <w:bCs/>
                <w:color w:val="auto"/>
                <w:sz w:val="24"/>
                <w:szCs w:val="24"/>
                <w:vertAlign w:val="baseline"/>
                <w:lang w:val="en-US" w:eastAsia="zh-CN"/>
              </w:rPr>
              <w:t>中和剂</w:t>
            </w:r>
          </w:p>
        </w:tc>
        <w:tc>
          <w:tcPr>
            <w:tcW w:w="2055"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弱酸性产品</w:t>
            </w:r>
          </w:p>
        </w:tc>
        <w:tc>
          <w:tcPr>
            <w:tcW w:w="143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中和衣物的残留碱、氯</w:t>
            </w:r>
          </w:p>
        </w:tc>
        <w:tc>
          <w:tcPr>
            <w:tcW w:w="1119"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Style w:val="71"/>
                <w:rFonts w:hint="eastAsia" w:eastAsia="宋体"/>
                <w:color w:val="auto"/>
                <w:sz w:val="24"/>
                <w:szCs w:val="24"/>
                <w:lang w:val="en-US" w:eastAsia="zh-CN" w:bidi="ar"/>
              </w:rPr>
            </w:pPr>
            <w:r>
              <w:rPr>
                <w:rStyle w:val="71"/>
                <w:rFonts w:eastAsia="宋体"/>
                <w:color w:val="auto"/>
                <w:sz w:val="24"/>
                <w:szCs w:val="24"/>
                <w:lang w:val="en-US" w:eastAsia="zh-CN" w:bidi="ar"/>
              </w:rPr>
              <w:t>25KG/桶</w:t>
            </w:r>
          </w:p>
        </w:tc>
        <w:tc>
          <w:tcPr>
            <w:tcW w:w="146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eastAsiaTheme="minorEastAsia"/>
                <w:b w:val="0"/>
                <w:bCs w:val="0"/>
                <w:color w:val="auto"/>
                <w:sz w:val="24"/>
                <w:szCs w:val="24"/>
                <w:vertAlign w:val="baseline"/>
                <w:lang w:val="en-US" w:eastAsia="zh-CN"/>
              </w:rPr>
            </w:pPr>
            <w:r>
              <w:rPr>
                <w:rFonts w:hint="eastAsia"/>
                <w:color w:val="auto"/>
                <w:sz w:val="24"/>
                <w:szCs w:val="24"/>
                <w:lang w:val="en-US" w:eastAsia="zh-CN"/>
              </w:rPr>
              <w:t>4桶</w:t>
            </w:r>
            <w:r>
              <w:rPr>
                <w:rFonts w:hint="eastAsia"/>
                <w:b w:val="0"/>
                <w:bCs w:val="0"/>
                <w:color w:val="auto"/>
                <w:sz w:val="24"/>
                <w:szCs w:val="24"/>
                <w:vertAlign w:val="baseline"/>
                <w:lang w:val="en-US" w:eastAsia="zh-CN"/>
              </w:rPr>
              <w:t>/年</w:t>
            </w:r>
          </w:p>
        </w:tc>
        <w:tc>
          <w:tcPr>
            <w:tcW w:w="158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625元/桶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7" w:hRule="atLeast"/>
        </w:trPr>
        <w:tc>
          <w:tcPr>
            <w:tcW w:w="1301"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bCs/>
                <w:color w:val="auto"/>
                <w:sz w:val="24"/>
                <w:szCs w:val="24"/>
                <w:vertAlign w:val="baseline"/>
                <w:lang w:val="en-US" w:eastAsia="zh-CN"/>
              </w:rPr>
            </w:pPr>
            <w:r>
              <w:rPr>
                <w:rFonts w:hint="eastAsia" w:ascii="宋体" w:hAnsi="宋体" w:eastAsia="宋体" w:cs="宋体"/>
                <w:b/>
                <w:bCs/>
                <w:i w:val="0"/>
                <w:iCs w:val="0"/>
                <w:color w:val="auto"/>
                <w:kern w:val="0"/>
                <w:sz w:val="24"/>
                <w:szCs w:val="24"/>
                <w:u w:val="none"/>
                <w:lang w:val="en-US" w:eastAsia="zh-CN" w:bidi="ar"/>
              </w:rPr>
              <w:t>乳化剂</w:t>
            </w:r>
          </w:p>
        </w:tc>
        <w:tc>
          <w:tcPr>
            <w:tcW w:w="2055"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outlineLvl w:val="9"/>
              <w:rPr>
                <w:rFonts w:hint="eastAsia"/>
                <w:b w:val="0"/>
                <w:bCs w:val="0"/>
                <w:color w:val="auto"/>
                <w:sz w:val="24"/>
                <w:szCs w:val="24"/>
                <w:vertAlign w:val="baseline"/>
                <w:lang w:val="en-US" w:eastAsia="zh-CN"/>
              </w:rPr>
            </w:pPr>
          </w:p>
        </w:tc>
        <w:tc>
          <w:tcPr>
            <w:tcW w:w="143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去除顽固油污，如药油、按摩油、桌布油、机油等</w:t>
            </w:r>
          </w:p>
        </w:tc>
        <w:tc>
          <w:tcPr>
            <w:tcW w:w="1119"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Style w:val="71"/>
                <w:rFonts w:hint="eastAsia" w:eastAsia="宋体"/>
                <w:color w:val="auto"/>
                <w:sz w:val="24"/>
                <w:szCs w:val="24"/>
                <w:lang w:val="en-US" w:eastAsia="zh-CN" w:bidi="ar"/>
              </w:rPr>
            </w:pPr>
            <w:r>
              <w:rPr>
                <w:rStyle w:val="71"/>
                <w:rFonts w:eastAsia="宋体"/>
                <w:color w:val="auto"/>
                <w:sz w:val="24"/>
                <w:szCs w:val="24"/>
                <w:lang w:val="en-US" w:eastAsia="zh-CN" w:bidi="ar"/>
              </w:rPr>
              <w:t>25KG/桶</w:t>
            </w:r>
          </w:p>
        </w:tc>
        <w:tc>
          <w:tcPr>
            <w:tcW w:w="146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color w:val="auto"/>
                <w:sz w:val="24"/>
                <w:szCs w:val="24"/>
                <w:lang w:val="en-US" w:eastAsia="zh-CN"/>
              </w:rPr>
              <w:t>1桶</w:t>
            </w:r>
            <w:r>
              <w:rPr>
                <w:rFonts w:hint="eastAsia"/>
                <w:b w:val="0"/>
                <w:bCs w:val="0"/>
                <w:color w:val="auto"/>
                <w:sz w:val="24"/>
                <w:szCs w:val="24"/>
                <w:vertAlign w:val="baseline"/>
                <w:lang w:val="en-US" w:eastAsia="zh-CN"/>
              </w:rPr>
              <w:t>/年</w:t>
            </w:r>
          </w:p>
        </w:tc>
        <w:tc>
          <w:tcPr>
            <w:tcW w:w="158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850元/桶</w:t>
            </w:r>
          </w:p>
        </w:tc>
      </w:tr>
    </w:tbl>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2.采购清单：</w:t>
      </w:r>
      <w:r>
        <w:rPr>
          <w:rFonts w:hint="eastAsia" w:ascii="宋体" w:hAnsi="宋体" w:eastAsia="宋体" w:cs="宋体"/>
          <w:color w:val="auto"/>
          <w:sz w:val="24"/>
          <w:szCs w:val="24"/>
          <w:lang w:eastAsia="zh-CN"/>
        </w:rPr>
        <w:t>按照医院使用需求及时</w:t>
      </w:r>
      <w:r>
        <w:rPr>
          <w:rFonts w:hint="eastAsia" w:ascii="宋体" w:hAnsi="宋体" w:eastAsia="宋体" w:cs="宋体"/>
          <w:color w:val="auto"/>
          <w:sz w:val="24"/>
          <w:szCs w:val="24"/>
        </w:rPr>
        <w:t>供应，</w:t>
      </w:r>
      <w:r>
        <w:rPr>
          <w:rFonts w:hint="eastAsia" w:ascii="宋体" w:hAnsi="宋体" w:eastAsia="宋体" w:cs="宋体"/>
          <w:color w:val="auto"/>
          <w:sz w:val="24"/>
          <w:szCs w:val="24"/>
          <w:lang w:eastAsia="zh-CN"/>
        </w:rPr>
        <w:t>下单后保证</w:t>
      </w:r>
      <w:r>
        <w:rPr>
          <w:rFonts w:hint="eastAsia" w:ascii="宋体" w:hAnsi="宋体" w:eastAsia="宋体" w:cs="宋体"/>
          <w:color w:val="auto"/>
          <w:sz w:val="24"/>
          <w:szCs w:val="24"/>
          <w:lang w:val="en-US" w:eastAsia="zh-CN"/>
        </w:rPr>
        <w:t>24小时内送货上门。（</w:t>
      </w:r>
      <w:r>
        <w:rPr>
          <w:rFonts w:hint="eastAsia" w:ascii="宋体" w:hAnsi="宋体" w:eastAsia="宋体" w:cs="宋体"/>
          <w:color w:val="auto"/>
          <w:sz w:val="24"/>
          <w:szCs w:val="24"/>
        </w:rPr>
        <w:t>平均</w:t>
      </w:r>
      <w:r>
        <w:rPr>
          <w:rFonts w:hint="eastAsia" w:ascii="宋体" w:hAnsi="宋体" w:eastAsia="宋体" w:cs="宋体"/>
          <w:color w:val="auto"/>
          <w:sz w:val="24"/>
          <w:szCs w:val="24"/>
          <w:lang w:eastAsia="zh-CN"/>
        </w:rPr>
        <w:t>每月预计需求量：</w:t>
      </w:r>
      <w:r>
        <w:rPr>
          <w:rFonts w:hint="eastAsia" w:hAnsi="宋体" w:cs="宋体"/>
          <w:color w:val="auto"/>
          <w:sz w:val="24"/>
          <w:szCs w:val="24"/>
          <w:lang w:val="en-US" w:eastAsia="zh-CN"/>
        </w:rPr>
        <w:t>漂白消毒剂</w:t>
      </w:r>
      <w:r>
        <w:rPr>
          <w:rFonts w:hint="eastAsia" w:ascii="宋体" w:hAnsi="宋体" w:eastAsia="宋体" w:cs="宋体"/>
          <w:color w:val="auto"/>
          <w:sz w:val="24"/>
          <w:szCs w:val="24"/>
          <w:lang w:val="en-US" w:eastAsia="zh-CN"/>
        </w:rPr>
        <w:t>40</w:t>
      </w:r>
      <w:r>
        <w:rPr>
          <w:rFonts w:hint="eastAsia" w:ascii="宋体" w:hAnsi="宋体" w:eastAsia="宋体" w:cs="宋体"/>
          <w:color w:val="auto"/>
          <w:sz w:val="24"/>
          <w:szCs w:val="24"/>
        </w:rPr>
        <w:t>桶，洗衣液</w:t>
      </w:r>
      <w:r>
        <w:rPr>
          <w:rFonts w:hint="eastAsia" w:ascii="宋体" w:hAnsi="宋体" w:eastAsia="宋体" w:cs="宋体"/>
          <w:color w:val="auto"/>
          <w:sz w:val="24"/>
          <w:szCs w:val="24"/>
          <w:lang w:val="en-US" w:eastAsia="zh-CN"/>
        </w:rPr>
        <w:t>2</w:t>
      </w:r>
      <w:r>
        <w:rPr>
          <w:rFonts w:hint="eastAsia" w:hAnsi="宋体" w:cs="宋体"/>
          <w:color w:val="auto"/>
          <w:sz w:val="24"/>
          <w:szCs w:val="24"/>
          <w:lang w:val="en-US" w:eastAsia="zh-CN"/>
        </w:rPr>
        <w:t>5</w:t>
      </w:r>
      <w:r>
        <w:rPr>
          <w:rFonts w:hint="eastAsia" w:ascii="宋体" w:hAnsi="宋体" w:eastAsia="宋体" w:cs="宋体"/>
          <w:color w:val="auto"/>
          <w:sz w:val="24"/>
          <w:szCs w:val="24"/>
        </w:rPr>
        <w:t>桶，衣领净</w:t>
      </w:r>
      <w:r>
        <w:rPr>
          <w:rFonts w:hint="eastAsia" w:ascii="宋体" w:hAnsi="宋体" w:eastAsia="宋体" w:cs="宋体"/>
          <w:color w:val="auto"/>
          <w:sz w:val="24"/>
          <w:szCs w:val="24"/>
          <w:lang w:val="en-US" w:eastAsia="zh-CN"/>
        </w:rPr>
        <w:t>2瓶；</w:t>
      </w:r>
      <w:r>
        <w:rPr>
          <w:rFonts w:hint="eastAsia" w:ascii="宋体" w:hAnsi="宋体" w:eastAsia="宋体" w:cs="宋体"/>
          <w:color w:val="auto"/>
          <w:sz w:val="24"/>
          <w:szCs w:val="24"/>
          <w:lang w:eastAsia="zh-CN"/>
        </w:rPr>
        <w:t>每年需求中和剂</w:t>
      </w:r>
      <w:r>
        <w:rPr>
          <w:rFonts w:hint="eastAsia" w:ascii="宋体" w:hAnsi="宋体" w:eastAsia="宋体" w:cs="宋体"/>
          <w:color w:val="auto"/>
          <w:sz w:val="24"/>
          <w:szCs w:val="24"/>
          <w:lang w:val="en-US" w:eastAsia="zh-CN"/>
        </w:rPr>
        <w:t>4桶，去油剂1桶）</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注：</w:t>
      </w:r>
      <w:r>
        <w:rPr>
          <w:rFonts w:hint="eastAsia" w:hAnsi="宋体" w:cs="宋体"/>
          <w:b/>
          <w:bCs/>
          <w:color w:val="auto"/>
          <w:sz w:val="24"/>
          <w:szCs w:val="24"/>
          <w:lang w:val="en-US" w:eastAsia="zh-CN"/>
        </w:rPr>
        <w:t>1.</w:t>
      </w:r>
      <w:r>
        <w:rPr>
          <w:rFonts w:hint="eastAsia" w:ascii="宋体" w:hAnsi="宋体" w:eastAsia="宋体" w:cs="宋体"/>
          <w:b/>
          <w:bCs/>
          <w:color w:val="auto"/>
          <w:sz w:val="24"/>
          <w:szCs w:val="24"/>
          <w:lang w:eastAsia="zh-CN"/>
        </w:rPr>
        <w:t>合同期内单价不得调整，货物单价包括但不限于</w:t>
      </w:r>
      <w:r>
        <w:rPr>
          <w:rFonts w:hint="eastAsia" w:asciiTheme="minorEastAsia" w:hAnsiTheme="minorEastAsia" w:cstheme="minorEastAsia"/>
          <w:color w:val="auto"/>
          <w:kern w:val="28"/>
          <w:sz w:val="24"/>
          <w:szCs w:val="24"/>
          <w:lang w:val="en-US" w:eastAsia="zh-CN"/>
        </w:rPr>
        <w:t>货物费用、运输费</w:t>
      </w:r>
      <w:r>
        <w:rPr>
          <w:rFonts w:hint="eastAsia" w:asciiTheme="minorEastAsia" w:hAnsiTheme="minorEastAsia" w:eastAsiaTheme="minorEastAsia" w:cstheme="minorEastAsia"/>
          <w:color w:val="auto"/>
          <w:kern w:val="28"/>
          <w:sz w:val="24"/>
          <w:szCs w:val="24"/>
          <w:lang w:val="en-US" w:eastAsia="zh-CN"/>
        </w:rPr>
        <w:t>、</w:t>
      </w:r>
      <w:r>
        <w:rPr>
          <w:rFonts w:hint="eastAsia" w:asciiTheme="minorEastAsia" w:hAnsiTheme="minorEastAsia" w:cstheme="minorEastAsia"/>
          <w:color w:val="auto"/>
          <w:kern w:val="28"/>
          <w:sz w:val="24"/>
          <w:szCs w:val="24"/>
          <w:lang w:val="en-US" w:eastAsia="zh-CN"/>
        </w:rPr>
        <w:t>人员经费、保险费、</w:t>
      </w:r>
      <w:r>
        <w:rPr>
          <w:rFonts w:hint="eastAsia" w:asciiTheme="minorEastAsia" w:hAnsiTheme="minorEastAsia" w:eastAsiaTheme="minorEastAsia" w:cstheme="minorEastAsia"/>
          <w:color w:val="auto"/>
          <w:kern w:val="28"/>
          <w:sz w:val="24"/>
          <w:szCs w:val="24"/>
          <w:lang w:val="en-US" w:eastAsia="zh-CN"/>
        </w:rPr>
        <w:t>各项税费及合同实施过程中不可预见费用等项目相关的一切费用</w:t>
      </w:r>
      <w:r>
        <w:rPr>
          <w:rFonts w:hint="eastAsia" w:ascii="宋体" w:hAnsi="宋体" w:eastAsia="宋体" w:cs="宋体"/>
          <w:b/>
          <w:bCs/>
          <w:color w:val="auto"/>
          <w:sz w:val="24"/>
          <w:szCs w:val="24"/>
          <w:lang w:eastAsia="zh-CN"/>
        </w:rPr>
        <w:t>。</w:t>
      </w:r>
    </w:p>
    <w:p>
      <w:pPr>
        <w:pStyle w:val="3"/>
        <w:ind w:firstLine="472" w:firstLineChars="200"/>
        <w:rPr>
          <w:rFonts w:hint="default"/>
          <w:color w:val="auto"/>
          <w:lang w:val="en-US" w:eastAsia="zh-CN"/>
        </w:rPr>
      </w:pPr>
      <w:r>
        <w:rPr>
          <w:rFonts w:hint="eastAsia" w:hAnsi="宋体" w:cs="宋体"/>
          <w:b/>
          <w:bCs/>
          <w:color w:val="auto"/>
          <w:sz w:val="24"/>
          <w:szCs w:val="24"/>
          <w:lang w:val="en-US" w:eastAsia="zh-CN"/>
        </w:rPr>
        <w:t>2.如投标每桶规格与采购清单不一致，按上述规格报价，送货时按量折算。如：“</w:t>
      </w:r>
      <w:r>
        <w:rPr>
          <w:rFonts w:hint="eastAsia"/>
          <w:b/>
          <w:bCs/>
          <w:color w:val="auto"/>
          <w:sz w:val="24"/>
          <w:szCs w:val="24"/>
          <w:vertAlign w:val="baseline"/>
          <w:lang w:val="en-US" w:eastAsia="zh-CN"/>
        </w:rPr>
        <w:t>洗衣液”实际规格为20KG/桶，投标按25KG/桶报价，送货按重量折算。</w:t>
      </w:r>
    </w:p>
    <w:p>
      <w:pPr>
        <w:keepNext w:val="0"/>
        <w:keepLines w:val="0"/>
        <w:pageBreakBefore w:val="0"/>
        <w:widowControl w:val="0"/>
        <w:numPr>
          <w:ilvl w:val="0"/>
          <w:numId w:val="0"/>
        </w:numPr>
        <w:kinsoku/>
        <w:wordWrap/>
        <w:overflowPunct/>
        <w:topLinePunct w:val="0"/>
        <w:bidi w:val="0"/>
        <w:snapToGrid/>
        <w:spacing w:line="460" w:lineRule="exact"/>
        <w:ind w:firstLine="472" w:firstLineChars="200"/>
        <w:textAlignment w:val="auto"/>
        <w:outlineLvl w:val="9"/>
        <w:rPr>
          <w:rFonts w:hint="eastAsia"/>
          <w:color w:val="auto"/>
          <w:sz w:val="24"/>
          <w:szCs w:val="24"/>
          <w:lang w:eastAsia="zh-CN"/>
        </w:rPr>
      </w:pPr>
      <w:r>
        <w:rPr>
          <w:rFonts w:hint="eastAsia" w:ascii="宋体" w:hAnsi="宋体" w:cs="宋体"/>
          <w:b/>
          <w:bCs/>
          <w:color w:val="auto"/>
          <w:sz w:val="24"/>
          <w:szCs w:val="24"/>
          <w:lang w:eastAsia="zh-CN"/>
        </w:rPr>
        <w:t>三、货物参数</w:t>
      </w:r>
    </w:p>
    <w:tbl>
      <w:tblPr>
        <w:tblStyle w:val="21"/>
        <w:tblW w:w="88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4"/>
        <w:gridCol w:w="609"/>
        <w:gridCol w:w="2112"/>
        <w:gridCol w:w="2637"/>
        <w:gridCol w:w="3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项目名称</w:t>
            </w: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项目名称</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无磷洗衣液</w:t>
            </w: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外观</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left"/>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不分层，无悬浮物(加入均匀悬浮颗粒组分的产品除外)或沉淀，无机械杂质的均匀液体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气味</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无异味，符合规定香型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稳定性</w:t>
            </w: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耐热</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在(40士2) ℃下保持24h,恢复至室温后与实验前无明显变化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耐寒</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于(-5士2)℃下保持24h，恢复至室温后与实验前无明显变化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总活性物</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pH(25℃,1%溶液)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7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规定污布的去污力</w:t>
            </w: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JB-01(碳黑油污布)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JB-02(蛋白污布)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JB-03(皮脂污布)</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总五氧化二磷</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乳化剂</w:t>
            </w: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外观</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均匀，无机械杂质。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气味</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无异味。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稳定性</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(40士2)℃恒温 24h、不分层.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(-5士2)℃恒湿 24h恢复到 15-25℃不分层、无沉底。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总活性物（表面活性物）</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pH(25℃,1%溶液)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相对标准去污比值</w:t>
            </w: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JB-01(碳黑油污布)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JB-02(蛋白污布)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JB-03(皮脂污布)</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漂白</w:t>
            </w:r>
            <w:r>
              <w:rPr>
                <w:rFonts w:hint="eastAsia" w:hAnsi="宋体" w:cs="宋体"/>
                <w:i w:val="0"/>
                <w:iCs w:val="0"/>
                <w:color w:val="auto"/>
                <w:kern w:val="0"/>
                <w:sz w:val="24"/>
                <w:szCs w:val="24"/>
                <w:u w:val="none"/>
                <w:lang w:val="en-US" w:eastAsia="zh-CN" w:bidi="ar"/>
              </w:rPr>
              <w:t>消毒</w:t>
            </w:r>
            <w:r>
              <w:rPr>
                <w:rFonts w:hint="eastAsia" w:ascii="宋体" w:hAnsi="宋体" w:eastAsia="宋体" w:cs="宋体"/>
                <w:i w:val="0"/>
                <w:iCs w:val="0"/>
                <w:color w:val="auto"/>
                <w:kern w:val="0"/>
                <w:sz w:val="24"/>
                <w:szCs w:val="24"/>
                <w:u w:val="none"/>
                <w:lang w:val="en-US" w:eastAsia="zh-CN" w:bidi="ar"/>
              </w:rPr>
              <w:t>剂</w:t>
            </w: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外观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浅黄色液体 浅黄色液体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有效氯 %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 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游离碱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铁含量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铅含量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砷含量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中和剂</w:t>
            </w: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外观</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均匀，无机械杂质、无色液体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气味</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无异味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稳定性</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(40±2)℃恒温 24h、不分层。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(-5士2)℃恒湿 24h恢复到 15-25℃不分层、有微小沉淀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总酸度</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Ph 值(25℃1% 溶液)</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泡沫(2.55mmdca./L硬水0.25%溶液≤130g)/m1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相对标准比值  </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5</w:t>
            </w:r>
          </w:p>
        </w:tc>
        <w:tc>
          <w:tcPr>
            <w:tcW w:w="6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lang w:eastAsia="zh-CN"/>
              </w:rPr>
            </w:pPr>
            <w:r>
              <w:rPr>
                <w:rFonts w:hint="eastAsia" w:ascii="宋体" w:hAnsi="宋体" w:eastAsia="宋体" w:cs="宋体"/>
                <w:i w:val="0"/>
                <w:iCs w:val="0"/>
                <w:color w:val="auto"/>
                <w:sz w:val="24"/>
                <w:szCs w:val="24"/>
                <w:u w:val="none"/>
                <w:lang w:eastAsia="zh-CN"/>
              </w:rPr>
              <w:t>衣领净</w:t>
            </w: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总活性物（表面活性物）</w:t>
            </w:r>
          </w:p>
        </w:tc>
        <w:tc>
          <w:tcPr>
            <w:tcW w:w="3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49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4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 Ph 值(25℃1% 溶液)</w:t>
            </w:r>
          </w:p>
        </w:tc>
        <w:tc>
          <w:tcPr>
            <w:tcW w:w="300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 w:hRule="atLeast"/>
        </w:trPr>
        <w:tc>
          <w:tcPr>
            <w:tcW w:w="49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609"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sz w:val="24"/>
                <w:szCs w:val="24"/>
                <w:u w:val="none"/>
              </w:rPr>
            </w:pPr>
          </w:p>
        </w:tc>
        <w:tc>
          <w:tcPr>
            <w:tcW w:w="21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相对标准</w:t>
            </w:r>
          </w:p>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去污比值</w:t>
            </w:r>
          </w:p>
        </w:tc>
        <w:tc>
          <w:tcPr>
            <w:tcW w:w="263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 JB-01(碳黑油污布)  </w:t>
            </w:r>
          </w:p>
        </w:tc>
        <w:tc>
          <w:tcPr>
            <w:tcW w:w="30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 w:hRule="atLeast"/>
        </w:trPr>
        <w:tc>
          <w:tcPr>
            <w:tcW w:w="49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color w:val="auto"/>
                <w:sz w:val="24"/>
                <w:szCs w:val="24"/>
              </w:rPr>
            </w:pPr>
          </w:p>
        </w:tc>
        <w:tc>
          <w:tcPr>
            <w:tcW w:w="6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color w:val="auto"/>
                <w:sz w:val="24"/>
                <w:szCs w:val="24"/>
              </w:rPr>
            </w:pPr>
          </w:p>
        </w:tc>
        <w:tc>
          <w:tcPr>
            <w:tcW w:w="211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color w:val="auto"/>
                <w:sz w:val="24"/>
                <w:szCs w:val="24"/>
              </w:rPr>
            </w:pPr>
          </w:p>
        </w:tc>
        <w:tc>
          <w:tcPr>
            <w:tcW w:w="263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JB-02(蛋白污布) </w:t>
            </w:r>
          </w:p>
        </w:tc>
        <w:tc>
          <w:tcPr>
            <w:tcW w:w="30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49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p>
        </w:tc>
        <w:tc>
          <w:tcPr>
            <w:tcW w:w="60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p>
        </w:tc>
        <w:tc>
          <w:tcPr>
            <w:tcW w:w="211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spacing w:line="400" w:lineRule="exact"/>
              <w:jc w:val="center"/>
              <w:outlineLvl w:val="9"/>
              <w:rPr>
                <w:rFonts w:hint="eastAsia" w:ascii="宋体" w:hAnsi="宋体" w:eastAsia="宋体" w:cs="宋体"/>
                <w:i w:val="0"/>
                <w:iCs w:val="0"/>
                <w:color w:val="auto"/>
                <w:kern w:val="0"/>
                <w:sz w:val="24"/>
                <w:szCs w:val="24"/>
                <w:u w:val="none"/>
                <w:lang w:val="en-US" w:eastAsia="zh-CN" w:bidi="ar"/>
              </w:rPr>
            </w:pPr>
          </w:p>
        </w:tc>
        <w:tc>
          <w:tcPr>
            <w:tcW w:w="263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JB-03(皮脂污布)</w:t>
            </w:r>
          </w:p>
        </w:tc>
        <w:tc>
          <w:tcPr>
            <w:tcW w:w="30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400" w:lineRule="exact"/>
              <w:jc w:val="center"/>
              <w:textAlignment w:val="center"/>
              <w:outlineLvl w:val="9"/>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≥1.0 </w:t>
            </w:r>
          </w:p>
        </w:tc>
      </w:tr>
    </w:tbl>
    <w:p>
      <w:pPr>
        <w:keepNext w:val="0"/>
        <w:keepLines w:val="0"/>
        <w:pageBreakBefore w:val="0"/>
        <w:widowControl w:val="0"/>
        <w:kinsoku/>
        <w:wordWrap/>
        <w:overflowPunct/>
        <w:topLinePunct w:val="0"/>
        <w:bidi w:val="0"/>
        <w:snapToGrid/>
        <w:spacing w:line="460" w:lineRule="exact"/>
        <w:ind w:firstLine="472" w:firstLineChars="200"/>
        <w:textAlignment w:val="auto"/>
        <w:outlineLvl w:val="9"/>
        <w:rPr>
          <w:rFonts w:hint="eastAsia" w:hAnsi="宋体" w:cs="宋体"/>
          <w:color w:val="auto"/>
          <w:sz w:val="24"/>
          <w:szCs w:val="24"/>
          <w:lang w:val="en-US" w:eastAsia="zh-CN"/>
        </w:rPr>
      </w:pPr>
      <w:r>
        <w:rPr>
          <w:rFonts w:hint="eastAsia" w:hAnsi="宋体" w:cs="宋体"/>
          <w:color w:val="auto"/>
          <w:sz w:val="24"/>
          <w:szCs w:val="24"/>
          <w:lang w:val="en-US" w:eastAsia="zh-CN"/>
        </w:rPr>
        <w:t>说明：</w:t>
      </w:r>
    </w:p>
    <w:p>
      <w:pPr>
        <w:keepNext w:val="0"/>
        <w:keepLines w:val="0"/>
        <w:pageBreakBefore w:val="0"/>
        <w:widowControl w:val="0"/>
        <w:kinsoku/>
        <w:wordWrap/>
        <w:overflowPunct/>
        <w:topLinePunct w:val="0"/>
        <w:bidi w:val="0"/>
        <w:snapToGrid/>
        <w:spacing w:line="460" w:lineRule="exact"/>
        <w:ind w:firstLine="472" w:firstLineChars="200"/>
        <w:textAlignment w:val="auto"/>
        <w:outlineLvl w:val="9"/>
        <w:rPr>
          <w:rFonts w:hint="eastAsia" w:hAnsi="宋体" w:cs="宋体"/>
          <w:color w:val="auto"/>
          <w:sz w:val="24"/>
          <w:szCs w:val="24"/>
          <w:lang w:val="en-US" w:eastAsia="zh-CN"/>
        </w:rPr>
      </w:pPr>
      <w:r>
        <w:rPr>
          <w:rFonts w:hint="eastAsia" w:hAnsi="宋体" w:cs="宋体"/>
          <w:color w:val="auto"/>
          <w:sz w:val="24"/>
          <w:szCs w:val="24"/>
          <w:lang w:val="en-US" w:eastAsia="zh-CN"/>
        </w:rPr>
        <w:t>1.必须</w:t>
      </w:r>
      <w:r>
        <w:rPr>
          <w:rFonts w:hint="eastAsia" w:ascii="宋体" w:hAnsi="宋体" w:eastAsia="宋体" w:cs="宋体"/>
          <w:color w:val="auto"/>
          <w:sz w:val="24"/>
          <w:szCs w:val="24"/>
          <w:lang w:val="en-US" w:eastAsia="zh-CN"/>
        </w:rPr>
        <w:t>提供</w:t>
      </w:r>
      <w:r>
        <w:rPr>
          <w:rFonts w:hint="eastAsia" w:hAnsi="宋体" w:cs="宋体"/>
          <w:color w:val="auto"/>
          <w:sz w:val="24"/>
          <w:szCs w:val="24"/>
          <w:lang w:val="en-US" w:eastAsia="zh-CN"/>
        </w:rPr>
        <w:t>所投产品的</w:t>
      </w:r>
      <w:r>
        <w:rPr>
          <w:rFonts w:hint="eastAsia" w:ascii="宋体" w:hAnsi="宋体" w:eastAsia="宋体" w:cs="宋体"/>
          <w:color w:val="auto"/>
          <w:sz w:val="24"/>
          <w:szCs w:val="24"/>
          <w:lang w:val="en-US" w:eastAsia="zh-CN"/>
        </w:rPr>
        <w:t>有效检测合格报告</w:t>
      </w:r>
      <w:r>
        <w:rPr>
          <w:rFonts w:hint="eastAsia" w:hAnsi="宋体" w:cs="宋体"/>
          <w:color w:val="auto"/>
          <w:sz w:val="24"/>
          <w:szCs w:val="24"/>
          <w:lang w:val="en-US" w:eastAsia="zh-CN"/>
        </w:rPr>
        <w:t>。</w:t>
      </w:r>
    </w:p>
    <w:p>
      <w:pPr>
        <w:pStyle w:val="3"/>
        <w:ind w:firstLine="472" w:firstLineChars="200"/>
        <w:rPr>
          <w:rFonts w:hint="eastAsia" w:hAnsi="宋体" w:cs="宋体"/>
          <w:color w:val="auto"/>
          <w:sz w:val="24"/>
          <w:szCs w:val="24"/>
          <w:lang w:val="en-US" w:eastAsia="zh-CN"/>
        </w:rPr>
      </w:pPr>
      <w:r>
        <w:rPr>
          <w:rFonts w:hint="eastAsia" w:hAnsi="宋体" w:cs="宋体"/>
          <w:color w:val="auto"/>
          <w:sz w:val="24"/>
          <w:szCs w:val="24"/>
          <w:lang w:val="en-US" w:eastAsia="zh-CN"/>
        </w:rPr>
        <w:t>2.必须</w:t>
      </w:r>
      <w:r>
        <w:rPr>
          <w:rFonts w:hint="eastAsia" w:ascii="宋体" w:hAnsi="宋体" w:eastAsia="宋体" w:cs="宋体"/>
          <w:color w:val="auto"/>
          <w:sz w:val="24"/>
          <w:szCs w:val="24"/>
          <w:lang w:val="en-US" w:eastAsia="zh-CN"/>
        </w:rPr>
        <w:t>提供</w:t>
      </w:r>
      <w:r>
        <w:rPr>
          <w:rFonts w:hint="eastAsia" w:hAnsi="宋体" w:cs="宋体"/>
          <w:color w:val="auto"/>
          <w:sz w:val="24"/>
          <w:szCs w:val="24"/>
          <w:lang w:val="en-US" w:eastAsia="zh-CN"/>
        </w:rPr>
        <w:t>所投产品完整外观图片（包含正反面）。</w:t>
      </w:r>
    </w:p>
    <w:p>
      <w:pPr>
        <w:pStyle w:val="3"/>
        <w:ind w:firstLine="472" w:firstLineChars="200"/>
        <w:rPr>
          <w:rFonts w:hint="eastAsia" w:hAnsi="宋体" w:cs="宋体"/>
          <w:color w:val="auto"/>
          <w:sz w:val="24"/>
          <w:szCs w:val="24"/>
          <w:lang w:val="en-GB" w:eastAsia="zh-CN"/>
        </w:rPr>
      </w:pPr>
      <w:r>
        <w:rPr>
          <w:rFonts w:hint="eastAsia" w:hAnsi="宋体" w:cs="宋体"/>
          <w:color w:val="auto"/>
          <w:sz w:val="24"/>
          <w:szCs w:val="24"/>
          <w:lang w:val="en-US" w:eastAsia="zh-CN"/>
        </w:rPr>
        <w:t>3.必须提供</w:t>
      </w:r>
      <w:r>
        <w:rPr>
          <w:rFonts w:hint="eastAsia" w:hAnsi="宋体" w:cs="宋体"/>
          <w:color w:val="auto"/>
        </w:rPr>
        <w:t>近三年内（自本项目招标公告发布之日起往前顺推）（以合同签订时间为准</w:t>
      </w:r>
      <w:r>
        <w:rPr>
          <w:rFonts w:hint="eastAsia" w:hAnsi="宋体" w:cs="宋体"/>
          <w:color w:val="auto"/>
          <w:lang w:eastAsia="zh-CN"/>
        </w:rPr>
        <w:t>（</w:t>
      </w:r>
      <w:r>
        <w:rPr>
          <w:rFonts w:hint="eastAsia" w:hAnsi="宋体" w:cs="宋体"/>
          <w:color w:val="auto"/>
          <w:lang w:val="en-US" w:eastAsia="zh-CN"/>
        </w:rPr>
        <w:t>提供发票的以发票日期为准</w:t>
      </w:r>
      <w:r>
        <w:rPr>
          <w:rFonts w:hint="eastAsia" w:hAnsi="宋体" w:cs="宋体"/>
          <w:color w:val="auto"/>
          <w:lang w:eastAsia="zh-CN"/>
        </w:rPr>
        <w:t>）</w:t>
      </w:r>
      <w:r>
        <w:rPr>
          <w:rFonts w:hint="eastAsia" w:hAnsi="宋体" w:cs="宋体"/>
          <w:color w:val="auto"/>
        </w:rPr>
        <w:t>）至投标截止前投标人独立承担</w:t>
      </w:r>
      <w:r>
        <w:rPr>
          <w:rFonts w:hint="eastAsia" w:hAnsi="宋体" w:cs="宋体"/>
          <w:color w:val="auto"/>
          <w:sz w:val="24"/>
          <w:szCs w:val="24"/>
          <w:lang w:val="en-US" w:eastAsia="zh-CN"/>
        </w:rPr>
        <w:t>所投产品</w:t>
      </w:r>
      <w:r>
        <w:rPr>
          <w:rFonts w:hint="eastAsia" w:ascii="宋体" w:hAnsi="宋体" w:eastAsia="宋体" w:cs="宋体"/>
          <w:color w:val="auto"/>
          <w:sz w:val="24"/>
          <w:szCs w:val="24"/>
          <w:highlight w:val="none"/>
          <w:lang w:val="en-GB"/>
        </w:rPr>
        <w:t>项目业绩</w:t>
      </w:r>
      <w:r>
        <w:rPr>
          <w:rFonts w:hint="eastAsia" w:hAnsi="宋体" w:cs="宋体"/>
          <w:color w:val="auto"/>
          <w:sz w:val="24"/>
          <w:szCs w:val="24"/>
          <w:lang w:val="en-GB" w:eastAsia="zh-CN"/>
        </w:rPr>
        <w:t>（</w:t>
      </w:r>
      <w:r>
        <w:rPr>
          <w:rFonts w:hint="eastAsia" w:hAnsi="宋体" w:cs="宋体"/>
          <w:color w:val="auto"/>
          <w:sz w:val="24"/>
          <w:szCs w:val="24"/>
          <w:lang w:val="en-US" w:eastAsia="zh-CN"/>
        </w:rPr>
        <w:t>提供合同或销售发票复印件</w:t>
      </w:r>
      <w:r>
        <w:rPr>
          <w:rFonts w:hint="eastAsia" w:hAnsi="宋体" w:cs="宋体"/>
          <w:color w:val="auto"/>
          <w:sz w:val="24"/>
          <w:szCs w:val="24"/>
          <w:lang w:val="en-GB" w:eastAsia="zh-CN"/>
        </w:rPr>
        <w:t>）。</w:t>
      </w:r>
    </w:p>
    <w:p>
      <w:pPr>
        <w:ind w:firstLine="472" w:firstLineChars="200"/>
        <w:rPr>
          <w:rFonts w:hint="default"/>
          <w:color w:val="auto"/>
          <w:highlight w:val="none"/>
          <w:lang w:val="en-US" w:eastAsia="zh-CN"/>
        </w:rPr>
      </w:pPr>
      <w:r>
        <w:rPr>
          <w:rFonts w:hint="eastAsia" w:hAnsi="宋体" w:cs="宋体"/>
          <w:color w:val="auto"/>
          <w:sz w:val="24"/>
          <w:szCs w:val="24"/>
          <w:highlight w:val="none"/>
          <w:lang w:val="en-US" w:eastAsia="zh-CN"/>
        </w:rPr>
        <w:t>4.供应商须对采购需求全部内容进行无偏离或正偏离响应，否则为不响应或无效响应。</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服务需求</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所供产品必须符合中华人民共和国国家标准及行业标准，质量标准必须按国家现行规范执行；</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2.洗涤效果要达到院感管理制度要求，有消毒功效，防止医源性感染，能够有效去除各种污渍，不留痕迹。不添加荧光增白剂，不含致敏成分，无刺鼻气味；</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提供所需消毒洗涤用品</w:t>
      </w:r>
      <w:r>
        <w:rPr>
          <w:rFonts w:hint="eastAsia" w:ascii="宋体" w:hAnsi="宋体" w:eastAsia="宋体" w:cs="宋体"/>
          <w:color w:val="auto"/>
          <w:sz w:val="24"/>
          <w:szCs w:val="24"/>
        </w:rPr>
        <w:t>的供应</w:t>
      </w:r>
      <w:r>
        <w:rPr>
          <w:rFonts w:hint="eastAsia" w:ascii="宋体" w:hAnsi="宋体" w:eastAsia="宋体" w:cs="宋体"/>
          <w:color w:val="auto"/>
          <w:sz w:val="24"/>
          <w:szCs w:val="24"/>
          <w:lang w:eastAsia="zh-CN"/>
        </w:rPr>
        <w:t>、运输、</w:t>
      </w:r>
      <w:r>
        <w:rPr>
          <w:rFonts w:hint="eastAsia" w:ascii="宋体" w:hAnsi="宋体" w:eastAsia="宋体" w:cs="宋体"/>
          <w:color w:val="auto"/>
          <w:sz w:val="24"/>
          <w:szCs w:val="24"/>
        </w:rPr>
        <w:t>售后</w:t>
      </w:r>
      <w:r>
        <w:rPr>
          <w:rFonts w:hint="eastAsia" w:ascii="宋体" w:hAnsi="宋体" w:eastAsia="宋体" w:cs="宋体"/>
          <w:color w:val="auto"/>
          <w:sz w:val="24"/>
          <w:szCs w:val="24"/>
          <w:lang w:eastAsia="zh-CN"/>
        </w:rPr>
        <w:t>和培训等相关</w:t>
      </w:r>
      <w:r>
        <w:rPr>
          <w:rFonts w:hint="eastAsia" w:ascii="宋体" w:hAnsi="宋体" w:eastAsia="宋体" w:cs="宋体"/>
          <w:color w:val="auto"/>
          <w:sz w:val="24"/>
          <w:szCs w:val="24"/>
        </w:rPr>
        <w:t>服务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提供原装且符合用户质量需求的货物，保证完好、无破损、配置与送货单相符；</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hAnsi="宋体" w:cs="宋体"/>
          <w:color w:val="auto"/>
          <w:sz w:val="24"/>
          <w:szCs w:val="24"/>
          <w:lang w:val="en-US" w:eastAsia="zh-CN"/>
        </w:rPr>
        <w:t>成交供应商</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特殊污渍</w:t>
      </w:r>
      <w:r>
        <w:rPr>
          <w:rFonts w:hint="eastAsia" w:ascii="宋体" w:hAnsi="宋体" w:eastAsia="宋体" w:cs="宋体"/>
          <w:color w:val="auto"/>
          <w:sz w:val="24"/>
          <w:szCs w:val="24"/>
          <w:highlight w:val="none"/>
        </w:rPr>
        <w:t>洗涤</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并保证</w:t>
      </w:r>
      <w:r>
        <w:rPr>
          <w:rFonts w:hint="eastAsia" w:ascii="宋体" w:hAnsi="宋体" w:eastAsia="宋体" w:cs="宋体"/>
          <w:color w:val="auto"/>
          <w:sz w:val="24"/>
          <w:szCs w:val="24"/>
          <w:highlight w:val="none"/>
          <w:lang w:val="en-US" w:eastAsia="zh-CN"/>
        </w:rPr>
        <w:t>三个工作日</w:t>
      </w:r>
      <w:r>
        <w:rPr>
          <w:rFonts w:hint="eastAsia" w:ascii="宋体" w:hAnsi="宋体" w:eastAsia="宋体" w:cs="宋体"/>
          <w:color w:val="auto"/>
          <w:sz w:val="24"/>
          <w:szCs w:val="24"/>
          <w:highlight w:val="none"/>
        </w:rPr>
        <w:t>内完成</w:t>
      </w:r>
      <w:r>
        <w:rPr>
          <w:rFonts w:hint="eastAsia" w:ascii="宋体" w:hAnsi="宋体" w:eastAsia="宋体" w:cs="宋体"/>
          <w:color w:val="auto"/>
          <w:sz w:val="24"/>
          <w:szCs w:val="24"/>
          <w:highlight w:val="none"/>
          <w:lang w:eastAsia="zh-CN"/>
        </w:rPr>
        <w:t>洗涤和收送服务</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hAnsi="宋体" w:cs="宋体"/>
          <w:color w:val="auto"/>
          <w:sz w:val="24"/>
          <w:szCs w:val="24"/>
          <w:lang w:val="en-US" w:eastAsia="zh-CN"/>
        </w:rPr>
        <w:t>成交供应商</w:t>
      </w:r>
      <w:r>
        <w:rPr>
          <w:rFonts w:hint="eastAsia" w:ascii="宋体" w:hAnsi="宋体" w:eastAsia="宋体" w:cs="宋体"/>
          <w:color w:val="auto"/>
          <w:sz w:val="24"/>
          <w:szCs w:val="24"/>
          <w:highlight w:val="none"/>
          <w:lang w:val="en-US" w:eastAsia="zh-CN"/>
        </w:rPr>
        <w:t>每季度一次将医院织物送至有资质的检测机构进行微生物检测，费用由供应商负责；</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hAnsi="宋体" w:cs="宋体"/>
          <w:color w:val="auto"/>
          <w:sz w:val="24"/>
          <w:szCs w:val="24"/>
          <w:lang w:val="en-US" w:eastAsia="zh-CN"/>
        </w:rPr>
        <w:t>成交供应商</w:t>
      </w:r>
      <w:r>
        <w:rPr>
          <w:rFonts w:hint="eastAsia" w:ascii="宋体" w:hAnsi="宋体" w:eastAsia="宋体" w:cs="宋体"/>
          <w:color w:val="auto"/>
          <w:sz w:val="24"/>
          <w:szCs w:val="24"/>
          <w:highlight w:val="none"/>
          <w:lang w:eastAsia="zh-CN"/>
        </w:rPr>
        <w:t>向采购人提供</w:t>
      </w:r>
      <w:r>
        <w:rPr>
          <w:rFonts w:hint="eastAsia" w:ascii="宋体" w:hAnsi="宋体" w:eastAsia="宋体" w:cs="宋体"/>
          <w:color w:val="auto"/>
          <w:sz w:val="24"/>
          <w:szCs w:val="24"/>
          <w:highlight w:val="none"/>
        </w:rPr>
        <w:t>两台</w:t>
      </w:r>
      <w:r>
        <w:rPr>
          <w:rFonts w:hint="eastAsia" w:ascii="宋体" w:hAnsi="宋体" w:eastAsia="宋体" w:cs="宋体"/>
          <w:color w:val="auto"/>
          <w:sz w:val="24"/>
          <w:szCs w:val="24"/>
          <w:highlight w:val="none"/>
          <w:lang w:eastAsia="zh-CN"/>
        </w:rPr>
        <w:t>或以上</w:t>
      </w:r>
      <w:r>
        <w:rPr>
          <w:rFonts w:hint="eastAsia" w:ascii="宋体" w:hAnsi="宋体" w:eastAsia="宋体" w:cs="宋体"/>
          <w:color w:val="auto"/>
          <w:sz w:val="24"/>
          <w:szCs w:val="24"/>
          <w:highlight w:val="none"/>
        </w:rPr>
        <w:t>洗涤剂分配器，</w:t>
      </w:r>
      <w:r>
        <w:rPr>
          <w:rFonts w:hint="eastAsia" w:ascii="宋体" w:hAnsi="宋体" w:eastAsia="宋体" w:cs="宋体"/>
          <w:color w:val="auto"/>
          <w:sz w:val="24"/>
          <w:szCs w:val="24"/>
          <w:highlight w:val="none"/>
          <w:lang w:eastAsia="zh-CN"/>
        </w:rPr>
        <w:t>可匹配采购的洗涤剂使用，</w:t>
      </w:r>
      <w:r>
        <w:rPr>
          <w:rFonts w:hint="eastAsia" w:ascii="宋体" w:hAnsi="宋体" w:eastAsia="宋体" w:cs="宋体"/>
          <w:color w:val="auto"/>
          <w:sz w:val="24"/>
          <w:szCs w:val="24"/>
          <w:highlight w:val="none"/>
        </w:rPr>
        <w:t>并做好安装、维护和售后服务。</w:t>
      </w:r>
    </w:p>
    <w:p>
      <w:pPr>
        <w:keepNext w:val="0"/>
        <w:keepLines w:val="0"/>
        <w:pageBreakBefore w:val="0"/>
        <w:widowControl w:val="0"/>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五、包装标准、包装物的供应与回收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1.货物所需包装由</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负责，适合运输、防潮、防湿、防震、防腐蚀等要求，因包装不当，给采购人或其他第三方造成的损失与责任均为</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提供本合同货物的包装物。包装物可由</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收回，</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不得向采购人收取包装物的任何费用，包括租赁费用、押金等。</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六、交货时间、交货地点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1.交货时间：</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接采购人通知后，次日正常上班时间内（上午8：30-下午4：00）完成送货。</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2.交货地点：佛山市南海区里水镇里官路得胜段28号南方医科大学第七附属医院洗衣房内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3.交接方式：双方设置登记本，清楚记录送货数量，回收桶数量，尚欠桶数量等，作为结算统计依据，检测合格报告随货同行。</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2"/>
          <w:sz w:val="24"/>
          <w:szCs w:val="24"/>
          <w:lang w:val="en-US" w:eastAsia="zh-CN" w:bidi="ar"/>
        </w:rPr>
        <w:t>4.货物运送至采购人指定交货地点前或不按本条约定时间运送货物致使采购人未能及时收取货物的，在采购人收取货物前的毁损、灭失风险均由</w:t>
      </w:r>
      <w:r>
        <w:rPr>
          <w:rFonts w:hint="eastAsia" w:hAnsi="宋体" w:cs="宋体"/>
          <w:color w:val="auto"/>
          <w:kern w:val="2"/>
          <w:sz w:val="24"/>
          <w:szCs w:val="24"/>
          <w:lang w:val="en-US" w:eastAsia="zh-CN" w:bidi="ar"/>
        </w:rPr>
        <w:t>成交供应商</w:t>
      </w:r>
      <w:r>
        <w:rPr>
          <w:rFonts w:hint="eastAsia" w:ascii="宋体" w:hAnsi="宋体" w:eastAsia="宋体" w:cs="宋体"/>
          <w:color w:val="auto"/>
          <w:kern w:val="2"/>
          <w:sz w:val="24"/>
          <w:szCs w:val="24"/>
          <w:lang w:val="en-US" w:eastAsia="zh-CN" w:bidi="ar"/>
        </w:rPr>
        <w:t xml:space="preserve">承担。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七、验收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1.验收内容包括货物的质量、规格、数量、重量、外包装是否完好等。</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2.采购人在货物使用过程中出现质量问题后立即以电话联系方式通知</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，并在3个工作日内以书面形式向</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提出异议；双方对怀疑质量存在问题的货物样品送有资质检测机构进行检测，检测结果为货物质量问题，检测费用与造成采购人损失的一切费用由中标人承担。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八、结算方式</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1.月度结算：按实际入库合格数量计算。</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在送货次月5号前提供相关资料申请付款，采购人审核无误后【30】天内通过银行转账方式向</w:t>
      </w:r>
      <w:r>
        <w:rPr>
          <w:rFonts w:hint="eastAsia" w:hAnsi="宋体" w:cs="宋体"/>
          <w:color w:val="auto"/>
          <w:sz w:val="24"/>
          <w:szCs w:val="24"/>
          <w:lang w:val="en-US" w:eastAsia="zh-CN"/>
        </w:rPr>
        <w:t>成交供应商</w:t>
      </w:r>
      <w:r>
        <w:rPr>
          <w:rFonts w:hint="eastAsia" w:ascii="宋体" w:hAnsi="宋体" w:eastAsia="宋体" w:cs="宋体"/>
          <w:color w:val="auto"/>
          <w:sz w:val="24"/>
          <w:szCs w:val="24"/>
          <w:lang w:val="en-US" w:eastAsia="zh-CN"/>
        </w:rPr>
        <w:t>支付。</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2.申请付款资料：</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2.1有效等额发票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2.2合同（首次）</w:t>
      </w:r>
    </w:p>
    <w:p>
      <w:pPr>
        <w:keepNext w:val="0"/>
        <w:keepLines w:val="0"/>
        <w:pageBreakBefore w:val="0"/>
        <w:widowControl w:val="0"/>
        <w:numPr>
          <w:ilvl w:val="0"/>
          <w:numId w:val="0"/>
        </w:numPr>
        <w:kinsoku/>
        <w:wordWrap/>
        <w:overflowPunct/>
        <w:topLinePunct w:val="0"/>
        <w:bidi w:val="0"/>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2.3送货单</w:t>
      </w:r>
    </w:p>
    <w:p>
      <w:pPr>
        <w:keepNext w:val="0"/>
        <w:keepLines w:val="0"/>
        <w:pageBreakBefore w:val="0"/>
        <w:widowControl w:val="0"/>
        <w:numPr>
          <w:ilvl w:val="0"/>
          <w:numId w:val="0"/>
        </w:numPr>
        <w:kinsoku/>
        <w:wordWrap/>
        <w:overflowPunct/>
        <w:topLinePunct w:val="0"/>
        <w:bidi w:val="0"/>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2.4中标通知书（首次）</w:t>
      </w:r>
    </w:p>
    <w:p>
      <w:pPr>
        <w:keepNext w:val="0"/>
        <w:keepLines w:val="0"/>
        <w:pageBreakBefore w:val="0"/>
        <w:widowControl w:val="0"/>
        <w:numPr>
          <w:ilvl w:val="0"/>
          <w:numId w:val="0"/>
        </w:numPr>
        <w:kinsoku/>
        <w:wordWrap/>
        <w:overflowPunct/>
        <w:topLinePunct w:val="0"/>
        <w:bidi w:val="0"/>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2.5检测合格报告书</w:t>
      </w:r>
    </w:p>
    <w:p>
      <w:pPr>
        <w:numPr>
          <w:ilvl w:val="0"/>
          <w:numId w:val="3"/>
        </w:numPr>
        <w:autoSpaceDE/>
        <w:autoSpaceDN/>
        <w:adjustRightInd/>
        <w:spacing w:line="460" w:lineRule="exact"/>
        <w:ind w:firstLine="472" w:firstLineChars="200"/>
        <w:outlineLvl w:val="9"/>
        <w:rPr>
          <w:rFonts w:hint="eastAsia" w:hAnsi="宋体" w:cs="宋体"/>
          <w:b/>
          <w:bCs/>
          <w:color w:val="auto"/>
          <w:lang w:val="en-US" w:eastAsia="zh-CN"/>
        </w:rPr>
      </w:pPr>
      <w:r>
        <w:rPr>
          <w:rFonts w:hint="eastAsia" w:hAnsi="宋体" w:cs="宋体"/>
          <w:b/>
          <w:bCs/>
          <w:color w:val="auto"/>
          <w:lang w:val="en-US" w:eastAsia="zh-CN"/>
        </w:rPr>
        <w:t>违约责任</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default"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sz w:val="24"/>
          <w:szCs w:val="24"/>
          <w:highlight w:val="none"/>
          <w:lang w:val="en-US" w:eastAsia="zh-CN"/>
        </w:rPr>
        <w:t>未能按照合同约定时间交货到指定地点的，</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sz w:val="24"/>
          <w:szCs w:val="24"/>
          <w:highlight w:val="none"/>
          <w:lang w:val="en-US" w:eastAsia="zh-CN"/>
        </w:rPr>
        <w:t>向采购人赔偿人民币【</w:t>
      </w:r>
      <w:r>
        <w:rPr>
          <w:rFonts w:hint="eastAsia"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lang w:val="en-US" w:eastAsia="zh-CN"/>
        </w:rPr>
        <w:t>累计</w:t>
      </w:r>
      <w:r>
        <w:rPr>
          <w:rFonts w:hint="eastAsia" w:hAnsi="宋体" w:cs="宋体"/>
          <w:strike w:val="0"/>
          <w:dstrike w:val="0"/>
          <w:color w:val="auto"/>
          <w:sz w:val="24"/>
          <w:szCs w:val="24"/>
          <w:highlight w:val="none"/>
          <w:lang w:val="en-US" w:eastAsia="zh-CN"/>
        </w:rPr>
        <w:t>违约</w:t>
      </w:r>
      <w:r>
        <w:rPr>
          <w:rFonts w:hint="eastAsia" w:ascii="宋体" w:hAnsi="宋体" w:eastAsia="宋体" w:cs="宋体"/>
          <w:strike w:val="0"/>
          <w:dstrike w:val="0"/>
          <w:color w:val="auto"/>
          <w:sz w:val="24"/>
          <w:szCs w:val="24"/>
          <w:highlight w:val="none"/>
          <w:lang w:val="en-US" w:eastAsia="zh-CN"/>
        </w:rPr>
        <w:t>3次</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sz w:val="24"/>
          <w:szCs w:val="24"/>
          <w:highlight w:val="none"/>
          <w:lang w:val="en-US" w:eastAsia="zh-CN"/>
        </w:rPr>
        <w:t>向采购人赔偿人民币【</w:t>
      </w:r>
      <w:r>
        <w:rPr>
          <w:rFonts w:hint="eastAsia" w:hAnsi="宋体" w:cs="宋体"/>
          <w:strike w:val="0"/>
          <w:dstrike w:val="0"/>
          <w:color w:val="auto"/>
          <w:sz w:val="24"/>
          <w:szCs w:val="24"/>
          <w:highlight w:val="none"/>
          <w:lang w:val="en-US" w:eastAsia="zh-CN"/>
        </w:rPr>
        <w:t>5</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采购人有权单方面解除合同。</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kern w:val="2"/>
          <w:sz w:val="24"/>
          <w:szCs w:val="24"/>
          <w:highlight w:val="none"/>
          <w:lang w:val="en-US" w:eastAsia="zh-CN" w:bidi="ar"/>
        </w:rPr>
        <w:t>交付货物质量未达到约定的标准或无法提供出厂质量检测合格报告或经检测机构检测货物存在质量问题的</w:t>
      </w:r>
      <w:r>
        <w:rPr>
          <w:rFonts w:hint="eastAsia" w:hAnsi="宋体" w:cs="宋体"/>
          <w:strike w:val="0"/>
          <w:dstrike w:val="0"/>
          <w:color w:val="auto"/>
          <w:kern w:val="2"/>
          <w:sz w:val="24"/>
          <w:szCs w:val="24"/>
          <w:highlight w:val="none"/>
          <w:lang w:val="en-US" w:eastAsia="zh-CN" w:bidi="ar"/>
        </w:rPr>
        <w:t>，</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sz w:val="24"/>
          <w:szCs w:val="24"/>
          <w:highlight w:val="none"/>
          <w:lang w:val="en-US" w:eastAsia="zh-CN"/>
        </w:rPr>
        <w:t>向采购人赔偿人民币【</w:t>
      </w:r>
      <w:r>
        <w:rPr>
          <w:rFonts w:hint="eastAsia"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lang w:val="en-US" w:eastAsia="zh-CN"/>
        </w:rPr>
        <w:t>累计</w:t>
      </w:r>
      <w:r>
        <w:rPr>
          <w:rFonts w:hint="eastAsia" w:hAnsi="宋体" w:cs="宋体"/>
          <w:strike w:val="0"/>
          <w:dstrike w:val="0"/>
          <w:color w:val="auto"/>
          <w:sz w:val="24"/>
          <w:szCs w:val="24"/>
          <w:highlight w:val="none"/>
          <w:lang w:val="en-US" w:eastAsia="zh-CN"/>
        </w:rPr>
        <w:t>违约</w:t>
      </w:r>
      <w:r>
        <w:rPr>
          <w:rFonts w:hint="eastAsia" w:ascii="宋体" w:hAnsi="宋体" w:eastAsia="宋体" w:cs="宋体"/>
          <w:strike w:val="0"/>
          <w:dstrike w:val="0"/>
          <w:color w:val="auto"/>
          <w:sz w:val="24"/>
          <w:szCs w:val="24"/>
          <w:highlight w:val="none"/>
          <w:lang w:val="en-US" w:eastAsia="zh-CN"/>
        </w:rPr>
        <w:t>3次</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sz w:val="24"/>
          <w:szCs w:val="24"/>
          <w:highlight w:val="none"/>
          <w:lang w:val="en-US" w:eastAsia="zh-CN"/>
        </w:rPr>
        <w:t>向采购人赔偿人民币【</w:t>
      </w:r>
      <w:r>
        <w:rPr>
          <w:rFonts w:hint="eastAsia" w:hAnsi="宋体" w:cs="宋体"/>
          <w:strike w:val="0"/>
          <w:dstrike w:val="0"/>
          <w:color w:val="auto"/>
          <w:sz w:val="24"/>
          <w:szCs w:val="24"/>
          <w:highlight w:val="none"/>
          <w:lang w:val="en-US" w:eastAsia="zh-CN"/>
        </w:rPr>
        <w:t>5</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，采购人有权单方面解除合同。</w:t>
      </w:r>
    </w:p>
    <w:p>
      <w:pPr>
        <w:pStyle w:val="3"/>
        <w:numPr>
          <w:ilvl w:val="-1"/>
          <w:numId w:val="0"/>
        </w:numPr>
        <w:ind w:firstLine="472" w:firstLineChars="200"/>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3.采购人无正当理由拒绝付款或未按合同约定时间支付结算款项的，采购人按应付未付结算款项的10%向</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sz w:val="24"/>
          <w:szCs w:val="24"/>
          <w:highlight w:val="none"/>
          <w:lang w:val="en-US" w:eastAsia="zh-CN"/>
        </w:rPr>
        <w:t>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strike w:val="0"/>
          <w:dstrike w:val="0"/>
          <w:color w:val="auto"/>
          <w:sz w:val="24"/>
          <w:szCs w:val="24"/>
          <w:highlight w:val="none"/>
          <w:lang w:val="en-US" w:eastAsia="zh-CN"/>
        </w:rPr>
      </w:pPr>
      <w:r>
        <w:rPr>
          <w:rFonts w:hint="eastAsia" w:ascii="宋体" w:hAnsi="宋体" w:eastAsia="宋体" w:cs="宋体"/>
          <w:b/>
          <w:bCs/>
          <w:strike w:val="0"/>
          <w:dstrike w:val="0"/>
          <w:color w:val="auto"/>
          <w:sz w:val="24"/>
          <w:szCs w:val="24"/>
          <w:highlight w:val="none"/>
          <w:lang w:val="en-US" w:eastAsia="zh-CN"/>
        </w:rPr>
        <w:t>十、安全与环境保护</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甲乙双方须确保在购销、运输、存储、加工、使用等过程中，遵守质量、安全、环境与健康等法律法规的有关要求，并承担质量、安全、环境与健康责任。</w:t>
      </w:r>
      <w:r>
        <w:rPr>
          <w:rFonts w:hint="eastAsia" w:hAnsi="宋体" w:cs="宋体"/>
          <w:strike w:val="0"/>
          <w:dstrike w:val="0"/>
          <w:color w:val="auto"/>
          <w:sz w:val="24"/>
          <w:szCs w:val="24"/>
          <w:highlight w:val="none"/>
          <w:lang w:val="en-US" w:eastAsia="zh-CN"/>
        </w:rPr>
        <w:t>成交供应商</w:t>
      </w:r>
      <w:r>
        <w:rPr>
          <w:rFonts w:hint="eastAsia" w:ascii="宋体" w:hAnsi="宋体" w:eastAsia="宋体" w:cs="宋体"/>
          <w:strike w:val="0"/>
          <w:dstrike w:val="0"/>
          <w:color w:val="auto"/>
          <w:sz w:val="24"/>
          <w:szCs w:val="24"/>
          <w:highlight w:val="none"/>
          <w:lang w:val="en-US" w:eastAsia="zh-CN"/>
        </w:rPr>
        <w:t>销售、运输等过程中，应满足化学品运输管理规定。</w:t>
      </w:r>
    </w:p>
    <w:p>
      <w:pPr>
        <w:rPr>
          <w:rFonts w:hint="eastAsia"/>
          <w:color w:val="auto"/>
          <w:lang w:val="en-US" w:eastAsia="zh-CN"/>
        </w:rPr>
      </w:pPr>
    </w:p>
    <w:p>
      <w:pPr>
        <w:kinsoku/>
        <w:overflowPunct/>
        <w:topLinePunct w:val="0"/>
        <w:bidi w:val="0"/>
        <w:outlineLvl w:val="9"/>
        <w:rPr>
          <w:rFonts w:hint="eastAsia" w:hAnsi="宋体"/>
          <w:b/>
          <w:bCs/>
          <w:color w:val="auto"/>
          <w:kern w:val="44"/>
          <w:sz w:val="32"/>
          <w:szCs w:val="32"/>
          <w:lang w:val="zh-CN"/>
        </w:rPr>
      </w:pPr>
      <w:r>
        <w:rPr>
          <w:rFonts w:hint="eastAsia" w:hAnsi="宋体"/>
          <w:b/>
          <w:bCs/>
          <w:color w:val="auto"/>
          <w:kern w:val="44"/>
          <w:sz w:val="32"/>
          <w:szCs w:val="32"/>
          <w:lang w:val="zh-CN"/>
        </w:rPr>
        <w:br w:type="page"/>
      </w:r>
    </w:p>
    <w:p>
      <w:pPr>
        <w:pStyle w:val="3"/>
        <w:rPr>
          <w:rFonts w:hint="eastAsia"/>
          <w:color w:val="auto"/>
          <w:lang w:val="zh-CN"/>
        </w:rPr>
      </w:pPr>
    </w:p>
    <w:p>
      <w:pPr>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hAnsi="宋体"/>
          <w:b/>
          <w:bCs/>
          <w:color w:val="auto"/>
          <w:kern w:val="44"/>
          <w:sz w:val="32"/>
          <w:szCs w:val="32"/>
          <w:lang w:val="zh-CN"/>
        </w:rPr>
      </w:pPr>
      <w:bookmarkStart w:id="42" w:name="_Toc24046"/>
      <w:r>
        <w:rPr>
          <w:rFonts w:hint="eastAsia" w:ascii="宋体" w:hAnsi="宋体" w:eastAsia="宋体" w:cs="Times New Roman"/>
          <w:b/>
          <w:bCs/>
          <w:color w:val="auto"/>
          <w:kern w:val="44"/>
          <w:sz w:val="32"/>
          <w:szCs w:val="32"/>
          <w:lang w:val="zh-CN"/>
        </w:rPr>
        <w:t xml:space="preserve">第四篇  </w:t>
      </w:r>
      <w:r>
        <w:rPr>
          <w:rFonts w:hint="eastAsia" w:hAnsi="宋体" w:cs="Times New Roman"/>
          <w:b/>
          <w:bCs/>
          <w:color w:val="auto"/>
          <w:kern w:val="44"/>
          <w:sz w:val="32"/>
          <w:szCs w:val="32"/>
          <w:lang w:val="zh-CN"/>
        </w:rPr>
        <w:t>评审工作大纲</w:t>
      </w:r>
      <w:bookmarkEnd w:id="42"/>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一、评审要求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1.评审方法</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本项目采用最低价评审价法，是指响应文件满足谈判文件全部实质性要求，且谈判报价最低的供应商为成交候选人的评审方法。</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2.评审原则</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（1）评审活动遵循公平、公正、科学和择优的原则，以谈判文件和响应文件为评审的基本依据，并按照谈判文件规定的评审方法和评审标准进行评审。</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具体评审事项由谈判小组负责，并按谈判文件的规定办法进行评审。对谈判文件中描述有歧义或前后不一致的地方，谈判小组有权按法律法规的规定进行评判，但对同一条款的评判应适用于每个响应供应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二、评审程序</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1.资格性审查和符合性审查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谈判小组根据《资格性审查表》（附表一）和《符合性审查表》（附表二）的内容逐条对响应文件进行评审，审查每份响应文件的相关资格证明文件是否齐全有效。审查每份响应文件是否实质上响应了谈判文件的要求，只要不满足《资格性审查表》和《符合性审查表》所列各项要求之一的，将被认定为无效响应。对响应有效性认定意见不一致的，谈判小组按少数服从多数原则表决决定。</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谈判小组对各</w:t>
      </w:r>
      <w:r>
        <w:rPr>
          <w:rFonts w:hint="eastAsia" w:hAnsi="宋体" w:cs="宋体"/>
          <w:color w:val="auto"/>
          <w:sz w:val="24"/>
          <w:szCs w:val="24"/>
          <w:lang w:val="en-US" w:eastAsia="zh-CN"/>
        </w:rPr>
        <w:t>响应供应商</w:t>
      </w:r>
      <w:r>
        <w:rPr>
          <w:rFonts w:hint="eastAsia" w:ascii="宋体" w:hAnsi="宋体" w:eastAsia="宋体" w:cs="宋体"/>
          <w:color w:val="auto"/>
          <w:sz w:val="24"/>
          <w:szCs w:val="24"/>
          <w:lang w:val="en-US" w:eastAsia="zh-CN"/>
        </w:rPr>
        <w:t>进行资格性和符合性审查过程中，对初步被认定为初审不合格或无效报价者应实行及时告知，由谈判小组组长或采购人代表将集体意见及时告知报价当事人。</w:t>
      </w:r>
    </w:p>
    <w:p>
      <w:pPr>
        <w:numPr>
          <w:ilvl w:val="0"/>
          <w:numId w:val="0"/>
        </w:numPr>
        <w:autoSpaceDE/>
        <w:autoSpaceDN/>
        <w:adjustRightInd/>
        <w:spacing w:line="460" w:lineRule="exact"/>
        <w:ind w:firstLine="472" w:firstLineChars="200"/>
        <w:contextualSpacing w:val="0"/>
        <w:outlineLvl w:val="9"/>
        <w:rPr>
          <w:rFonts w:hint="eastAsia" w:hAnsi="宋体" w:cs="宋体"/>
          <w:color w:val="FF0000"/>
        </w:rPr>
      </w:pPr>
      <w:r>
        <w:rPr>
          <w:rFonts w:hint="eastAsia" w:hAnsi="宋体" w:cs="宋体"/>
          <w:color w:val="FF0000"/>
        </w:rPr>
        <w:t>经</w:t>
      </w:r>
      <w:r>
        <w:rPr>
          <w:rFonts w:hint="eastAsia" w:hAnsi="宋体" w:cs="宋体"/>
          <w:color w:val="FF0000"/>
          <w:lang w:eastAsia="zh-CN"/>
        </w:rPr>
        <w:t>谈判</w:t>
      </w:r>
      <w:r>
        <w:rPr>
          <w:rFonts w:hint="eastAsia" w:hAnsi="宋体" w:cs="宋体"/>
          <w:color w:val="FF0000"/>
        </w:rPr>
        <w:t>小组确认具有有效响应文件的供应商不足3家时，本项目继续进行。</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2.响应文件澄清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（1）对于响应</w:t>
      </w:r>
      <w:r>
        <w:rPr>
          <w:rFonts w:hint="eastAsia" w:hAnsi="宋体" w:cs="宋体"/>
          <w:color w:val="auto"/>
          <w:sz w:val="24"/>
          <w:szCs w:val="24"/>
          <w:lang w:val="en-US" w:eastAsia="zh-CN"/>
        </w:rPr>
        <w:t>响应文件</w:t>
      </w:r>
      <w:r>
        <w:rPr>
          <w:rFonts w:hint="eastAsia" w:ascii="宋体" w:hAnsi="宋体" w:eastAsia="宋体" w:cs="宋体"/>
          <w:color w:val="auto"/>
          <w:sz w:val="24"/>
          <w:szCs w:val="24"/>
          <w:lang w:val="en-US" w:eastAsia="zh-CN"/>
        </w:rPr>
        <w:t>中含义不明确、同类问题表述不一致或者有明显文字和计算错误的内容，谈判小组可在评审过程中要求</w:t>
      </w:r>
      <w:r>
        <w:rPr>
          <w:rFonts w:hint="eastAsia" w:hAnsi="宋体" w:cs="宋体"/>
          <w:color w:val="auto"/>
          <w:sz w:val="24"/>
          <w:szCs w:val="24"/>
          <w:lang w:val="en-US" w:eastAsia="zh-CN"/>
        </w:rPr>
        <w:t>响应供应商</w:t>
      </w:r>
      <w:r>
        <w:rPr>
          <w:rFonts w:hint="eastAsia" w:ascii="宋体" w:hAnsi="宋体" w:eastAsia="宋体" w:cs="宋体"/>
          <w:color w:val="auto"/>
          <w:sz w:val="24"/>
          <w:szCs w:val="24"/>
          <w:lang w:val="en-US" w:eastAsia="zh-CN"/>
        </w:rPr>
        <w:t>针对价格或内容做出必要的澄清、说明或补正。</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w:t>
      </w:r>
      <w:r>
        <w:rPr>
          <w:rFonts w:hint="eastAsia" w:hAnsi="宋体" w:cs="宋体"/>
          <w:color w:val="auto"/>
          <w:lang w:val="zh-CN" w:eastAsia="zh-CN"/>
        </w:rPr>
        <w:t>响应供应商</w:t>
      </w:r>
      <w:r>
        <w:rPr>
          <w:rFonts w:hint="eastAsia" w:ascii="宋体" w:hAnsi="宋体" w:eastAsia="宋体" w:cs="宋体"/>
          <w:color w:val="auto"/>
          <w:lang w:val="zh-CN" w:eastAsia="zh-CN"/>
        </w:rPr>
        <w:t>应以书面形式进行澄清、说明或补正</w:t>
      </w:r>
      <w:r>
        <w:rPr>
          <w:rFonts w:hint="eastAsia" w:hAnsi="宋体" w:cs="宋体"/>
          <w:color w:val="auto"/>
          <w:lang w:val="zh-CN" w:eastAsia="zh-CN"/>
        </w:rPr>
        <w:t>。</w:t>
      </w:r>
      <w:r>
        <w:rPr>
          <w:rFonts w:hint="eastAsia" w:ascii="宋体" w:hAnsi="宋体" w:eastAsia="宋体" w:cs="宋体"/>
          <w:color w:val="auto"/>
          <w:lang w:val="zh-CN" w:eastAsia="zh-CN"/>
        </w:rPr>
        <w:t>澄清、说明或补正的内容属于</w:t>
      </w:r>
      <w:r>
        <w:rPr>
          <w:rFonts w:hint="eastAsia" w:hAnsi="宋体" w:cs="宋体"/>
          <w:color w:val="auto"/>
          <w:lang w:val="zh-CN" w:eastAsia="zh-CN"/>
        </w:rPr>
        <w:t>响应文件</w:t>
      </w:r>
      <w:r>
        <w:rPr>
          <w:rFonts w:hint="eastAsia" w:ascii="宋体" w:hAnsi="宋体" w:eastAsia="宋体" w:cs="宋体"/>
          <w:color w:val="auto"/>
          <w:lang w:val="zh-CN" w:eastAsia="zh-CN"/>
        </w:rPr>
        <w:t>的组成部分，澄清中的承诺性意思表示在</w:t>
      </w:r>
      <w:r>
        <w:rPr>
          <w:rFonts w:hint="eastAsia" w:hAnsi="宋体" w:cs="宋体"/>
          <w:color w:val="auto"/>
          <w:lang w:val="zh-CN" w:eastAsia="zh-CN"/>
        </w:rPr>
        <w:t>响应文件</w:t>
      </w:r>
      <w:r>
        <w:rPr>
          <w:rFonts w:hint="eastAsia" w:ascii="宋体" w:hAnsi="宋体" w:eastAsia="宋体" w:cs="宋体"/>
          <w:color w:val="auto"/>
          <w:lang w:val="zh-CN" w:eastAsia="zh-CN"/>
        </w:rPr>
        <w:t>有效期内均对</w:t>
      </w:r>
      <w:r>
        <w:rPr>
          <w:rFonts w:hint="eastAsia" w:hAnsi="宋体" w:cs="宋体"/>
          <w:color w:val="auto"/>
          <w:lang w:val="zh-CN" w:eastAsia="zh-CN"/>
        </w:rPr>
        <w:t>响应供应商</w:t>
      </w:r>
      <w:r>
        <w:rPr>
          <w:rFonts w:hint="eastAsia" w:ascii="宋体" w:hAnsi="宋体" w:eastAsia="宋体" w:cs="宋体"/>
          <w:color w:val="auto"/>
          <w:lang w:val="zh-CN" w:eastAsia="zh-CN"/>
        </w:rPr>
        <w:t>有约束力。除谈判小组对评审中发现算术错误进行修正后要求</w:t>
      </w:r>
      <w:r>
        <w:rPr>
          <w:rFonts w:hint="eastAsia" w:hAnsi="宋体" w:cs="宋体"/>
          <w:color w:val="auto"/>
          <w:lang w:val="zh-CN" w:eastAsia="zh-CN"/>
        </w:rPr>
        <w:t>响应供应商</w:t>
      </w:r>
      <w:r>
        <w:rPr>
          <w:rFonts w:hint="eastAsia" w:ascii="宋体" w:hAnsi="宋体" w:eastAsia="宋体" w:cs="宋体"/>
          <w:color w:val="auto"/>
          <w:lang w:val="zh-CN" w:eastAsia="zh-CN"/>
        </w:rPr>
        <w:t>以澄清形式进行的核实和确认外，澄清不得超出</w:t>
      </w:r>
      <w:r>
        <w:rPr>
          <w:rFonts w:hint="eastAsia" w:hAnsi="宋体" w:cs="宋体"/>
          <w:color w:val="auto"/>
          <w:lang w:val="zh-CN" w:eastAsia="zh-CN"/>
        </w:rPr>
        <w:t>响应文件</w:t>
      </w:r>
      <w:r>
        <w:rPr>
          <w:rFonts w:hint="eastAsia" w:ascii="宋体" w:hAnsi="宋体" w:eastAsia="宋体" w:cs="宋体"/>
          <w:color w:val="auto"/>
          <w:lang w:val="zh-CN" w:eastAsia="zh-CN"/>
        </w:rPr>
        <w:t>的范围或改变</w:t>
      </w:r>
      <w:r>
        <w:rPr>
          <w:rFonts w:hint="eastAsia" w:hAnsi="宋体" w:cs="宋体"/>
          <w:color w:val="auto"/>
          <w:lang w:val="zh-CN" w:eastAsia="zh-CN"/>
        </w:rPr>
        <w:t>响应文件</w:t>
      </w:r>
      <w:r>
        <w:rPr>
          <w:rFonts w:hint="eastAsia" w:ascii="宋体" w:hAnsi="宋体" w:eastAsia="宋体" w:cs="宋体"/>
          <w:color w:val="auto"/>
          <w:lang w:val="zh-CN" w:eastAsia="zh-CN"/>
        </w:rPr>
        <w:t>的实质性内容</w:t>
      </w:r>
      <w:r>
        <w:rPr>
          <w:rFonts w:hint="eastAsia" w:hAnsi="宋体" w:cs="宋体"/>
          <w:color w:val="auto"/>
          <w:lang w:val="zh-CN" w:eastAsia="zh-CN"/>
        </w:rPr>
        <w:t>。</w:t>
      </w:r>
      <w:r>
        <w:rPr>
          <w:rFonts w:hint="eastAsia" w:ascii="宋体" w:hAnsi="宋体" w:eastAsia="宋体" w:cs="宋体"/>
          <w:color w:val="auto"/>
          <w:lang w:val="zh-CN" w:eastAsia="zh-CN"/>
        </w:rPr>
        <w:t>超出部分不作为谈判小组评审的依据。除上述规定的情形之外，谈判小组在评审过程中，不得接收来自评审现场以外的任何形式的文件资料。除谈判小组主动要求澄清、说明或者纠正外，评审定标期间，任何</w:t>
      </w:r>
      <w:r>
        <w:rPr>
          <w:rFonts w:hint="eastAsia" w:hAnsi="宋体" w:cs="宋体"/>
          <w:color w:val="auto"/>
          <w:lang w:val="zh-CN" w:eastAsia="zh-CN"/>
        </w:rPr>
        <w:t>响应供应商</w:t>
      </w:r>
      <w:r>
        <w:rPr>
          <w:rFonts w:hint="eastAsia" w:ascii="宋体" w:hAnsi="宋体" w:eastAsia="宋体" w:cs="宋体"/>
          <w:color w:val="auto"/>
          <w:lang w:val="zh-CN" w:eastAsia="zh-CN"/>
        </w:rPr>
        <w:t>均不得就与其报价相关的任何问题与谈判小组联系。</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hAnsi="宋体" w:cs="宋体"/>
          <w:color w:val="auto"/>
          <w:sz w:val="24"/>
          <w:szCs w:val="24"/>
          <w:lang w:val="en-US" w:eastAsia="zh-CN"/>
        </w:rPr>
        <w:t>3</w:t>
      </w:r>
      <w:r>
        <w:rPr>
          <w:rFonts w:hint="eastAsia" w:ascii="宋体" w:hAnsi="宋体" w:eastAsia="宋体" w:cs="宋体"/>
          <w:color w:val="auto"/>
          <w:sz w:val="24"/>
          <w:szCs w:val="24"/>
          <w:lang w:val="en-US" w:eastAsia="zh-CN"/>
        </w:rPr>
        <w:t>）谈判小组不接受供应商主动提出的澄清、说明或补正。</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hAnsi="宋体" w:cs="宋体"/>
          <w:color w:val="auto"/>
          <w:sz w:val="24"/>
          <w:szCs w:val="24"/>
          <w:lang w:val="en-US" w:eastAsia="zh-CN"/>
        </w:rPr>
        <w:t>4</w:t>
      </w:r>
      <w:r>
        <w:rPr>
          <w:rFonts w:hint="eastAsia" w:ascii="宋体" w:hAnsi="宋体" w:eastAsia="宋体" w:cs="宋体"/>
          <w:color w:val="auto"/>
          <w:sz w:val="24"/>
          <w:szCs w:val="24"/>
          <w:lang w:val="en-US" w:eastAsia="zh-CN"/>
        </w:rPr>
        <w:t>）谈判小组对供应商提交的澄清、说明或补正有疑问的，可以要求供应商进一步澄清、说明或补正。</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hAnsi="宋体" w:cs="宋体"/>
          <w:color w:val="auto"/>
          <w:lang w:val="en-US" w:eastAsia="zh-CN"/>
        </w:rPr>
        <w:t>5</w:t>
      </w:r>
      <w:r>
        <w:rPr>
          <w:rFonts w:hint="eastAsia" w:ascii="宋体" w:hAnsi="宋体" w:eastAsia="宋体" w:cs="宋体"/>
          <w:color w:val="auto"/>
          <w:lang w:val="zh-CN" w:eastAsia="zh-CN"/>
        </w:rPr>
        <w:t>）谈判小组成员均应当阅读</w:t>
      </w:r>
      <w:r>
        <w:rPr>
          <w:rFonts w:hint="eastAsia" w:hAnsi="宋体" w:cs="宋体"/>
          <w:color w:val="auto"/>
          <w:lang w:val="zh-CN" w:eastAsia="zh-CN"/>
        </w:rPr>
        <w:t>响应供应商</w:t>
      </w:r>
      <w:r>
        <w:rPr>
          <w:rFonts w:hint="eastAsia" w:ascii="宋体" w:hAnsi="宋体" w:eastAsia="宋体" w:cs="宋体"/>
          <w:color w:val="auto"/>
          <w:lang w:val="zh-CN" w:eastAsia="zh-CN"/>
        </w:rPr>
        <w:t>的澄清，但应独立参考澄清对</w:t>
      </w:r>
      <w:r>
        <w:rPr>
          <w:rFonts w:hint="eastAsia" w:hAnsi="宋体" w:cs="宋体"/>
          <w:color w:val="auto"/>
          <w:lang w:val="zh-CN" w:eastAsia="zh-CN"/>
        </w:rPr>
        <w:t>响应文件</w:t>
      </w:r>
      <w:r>
        <w:rPr>
          <w:rFonts w:hint="eastAsia" w:ascii="宋体" w:hAnsi="宋体" w:eastAsia="宋体" w:cs="宋体"/>
          <w:color w:val="auto"/>
          <w:lang w:val="zh-CN" w:eastAsia="zh-CN"/>
        </w:rPr>
        <w:t>进行评审。整个澄清的过程不得存在排斥潜在</w:t>
      </w:r>
      <w:r>
        <w:rPr>
          <w:rFonts w:hint="eastAsia" w:hAnsi="宋体" w:cs="宋体"/>
          <w:color w:val="auto"/>
          <w:lang w:val="zh-CN" w:eastAsia="zh-CN"/>
        </w:rPr>
        <w:t>响应供应商</w:t>
      </w:r>
      <w:r>
        <w:rPr>
          <w:rFonts w:hint="eastAsia" w:ascii="宋体" w:hAnsi="宋体" w:eastAsia="宋体" w:cs="宋体"/>
          <w:color w:val="auto"/>
          <w:lang w:val="zh-CN" w:eastAsia="zh-CN"/>
        </w:rPr>
        <w:t>的现象。</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hAnsi="宋体" w:cs="宋体"/>
          <w:color w:val="auto"/>
          <w:lang w:val="en-US" w:eastAsia="zh-CN"/>
        </w:rPr>
        <w:t>6</w:t>
      </w:r>
      <w:r>
        <w:rPr>
          <w:rFonts w:hint="eastAsia" w:ascii="宋体" w:hAnsi="宋体" w:eastAsia="宋体" w:cs="宋体"/>
          <w:color w:val="auto"/>
          <w:lang w:val="zh-CN" w:eastAsia="zh-CN"/>
        </w:rPr>
        <w:t>）如果</w:t>
      </w:r>
      <w:r>
        <w:rPr>
          <w:rFonts w:hint="eastAsia" w:hAnsi="宋体" w:cs="宋体"/>
          <w:color w:val="auto"/>
          <w:lang w:val="zh-CN" w:eastAsia="zh-CN"/>
        </w:rPr>
        <w:t>响应文件</w:t>
      </w:r>
      <w:r>
        <w:rPr>
          <w:rFonts w:hint="eastAsia" w:ascii="宋体" w:hAnsi="宋体" w:eastAsia="宋体" w:cs="宋体"/>
          <w:color w:val="auto"/>
          <w:lang w:val="zh-CN" w:eastAsia="zh-CN"/>
        </w:rPr>
        <w:t>实质上不响应谈判文件的各项要求，谈判小组将按照符合性审查标准予以拒绝，不接受</w:t>
      </w:r>
      <w:r>
        <w:rPr>
          <w:rFonts w:hint="eastAsia" w:hAnsi="宋体" w:cs="宋体"/>
          <w:color w:val="auto"/>
          <w:lang w:val="zh-CN" w:eastAsia="zh-CN"/>
        </w:rPr>
        <w:t>响应供应商</w:t>
      </w:r>
      <w:r>
        <w:rPr>
          <w:rFonts w:hint="eastAsia" w:ascii="宋体" w:hAnsi="宋体" w:eastAsia="宋体" w:cs="宋体"/>
          <w:color w:val="auto"/>
          <w:lang w:val="zh-CN" w:eastAsia="zh-CN"/>
        </w:rPr>
        <w:t>通过修改或撤销其不符合要求的差异或保留，使之成为具有响应性的报价。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3.谈判</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（1）谈判小组所有成员应当集中与单一供应商分别进行谈判，并给予所有参加谈判的供应商平等的谈判机会。</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（2）在谈判过程中，谈判小组可以根据谈判文件和谈判情况实质性变动采购需求中的技术、服务要求以及合同草案条款，但不得变动谈判文件中的其他内容。实质性变动的内容，须经采购人代表确认。</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（3）对谈判文件作出的实质性变动是谈判文件的有效组成部分，谈判小组应当及时、同时通知所有参加谈判的供应商。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hAnsi="宋体" w:cs="宋体"/>
          <w:color w:val="auto"/>
          <w:lang w:val="en-US" w:eastAsia="zh-CN"/>
        </w:rPr>
        <w:t>4</w:t>
      </w:r>
      <w:r>
        <w:rPr>
          <w:rFonts w:hint="eastAsia" w:ascii="宋体" w:hAnsi="宋体" w:eastAsia="宋体" w:cs="宋体"/>
          <w:color w:val="auto"/>
          <w:lang w:val="zh-CN" w:eastAsia="zh-CN"/>
        </w:rPr>
        <w:t>）未能通过初审的</w:t>
      </w:r>
      <w:r>
        <w:rPr>
          <w:rFonts w:hint="eastAsia" w:hAnsi="宋体" w:cs="宋体"/>
          <w:color w:val="auto"/>
          <w:lang w:val="zh-CN" w:eastAsia="zh-CN"/>
        </w:rPr>
        <w:t>响应文件</w:t>
      </w:r>
      <w:r>
        <w:rPr>
          <w:rFonts w:hint="eastAsia" w:ascii="宋体" w:hAnsi="宋体" w:eastAsia="宋体" w:cs="宋体"/>
          <w:color w:val="auto"/>
          <w:lang w:val="zh-CN" w:eastAsia="zh-CN"/>
        </w:rPr>
        <w:t>为无效</w:t>
      </w:r>
      <w:r>
        <w:rPr>
          <w:rFonts w:hint="eastAsia" w:hAnsi="宋体" w:cs="宋体"/>
          <w:color w:val="auto"/>
          <w:lang w:val="zh-CN" w:eastAsia="zh-CN"/>
        </w:rPr>
        <w:t>响应文件</w:t>
      </w:r>
      <w:r>
        <w:rPr>
          <w:rFonts w:hint="eastAsia" w:ascii="宋体" w:hAnsi="宋体" w:eastAsia="宋体" w:cs="宋体"/>
          <w:color w:val="auto"/>
          <w:lang w:val="zh-CN" w:eastAsia="zh-CN"/>
        </w:rPr>
        <w:t>，该供应商不能进行谈判和最终报价。</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hAnsi="宋体" w:cs="宋体"/>
          <w:color w:val="auto"/>
          <w:lang w:val="en-US" w:eastAsia="zh-CN"/>
        </w:rPr>
        <w:t>5</w:t>
      </w:r>
      <w:r>
        <w:rPr>
          <w:rFonts w:hint="eastAsia" w:ascii="宋体" w:hAnsi="宋体" w:eastAsia="宋体" w:cs="宋体"/>
          <w:color w:val="auto"/>
          <w:lang w:val="zh-CN" w:eastAsia="zh-CN"/>
        </w:rPr>
        <w:t>）本次采购采用一轮或多轮次谈判形式。谈判时，谈判小组与</w:t>
      </w:r>
      <w:r>
        <w:rPr>
          <w:rFonts w:hint="eastAsia" w:hAnsi="宋体" w:cs="宋体"/>
          <w:color w:val="auto"/>
          <w:lang w:val="zh-CN" w:eastAsia="zh-CN"/>
        </w:rPr>
        <w:t>响应供应商</w:t>
      </w:r>
      <w:r>
        <w:rPr>
          <w:rFonts w:hint="eastAsia" w:ascii="宋体" w:hAnsi="宋体" w:eastAsia="宋体" w:cs="宋体"/>
          <w:color w:val="auto"/>
          <w:lang w:val="zh-CN" w:eastAsia="zh-CN"/>
        </w:rPr>
        <w:t>应围绕技术、商务、合同条款等内容分别进行一轮或多轮的谈判。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hAnsi="宋体" w:cs="宋体"/>
          <w:color w:val="auto"/>
          <w:lang w:val="en-US" w:eastAsia="zh-CN"/>
        </w:rPr>
        <w:t>6</w:t>
      </w:r>
      <w:r>
        <w:rPr>
          <w:rFonts w:hint="eastAsia" w:ascii="宋体" w:hAnsi="宋体" w:eastAsia="宋体" w:cs="宋体"/>
          <w:color w:val="auto"/>
          <w:lang w:val="zh-CN" w:eastAsia="zh-CN"/>
        </w:rPr>
        <w:t>）在谈判过程中对谈判文件未能实质响应的供应商不足三家时，谈判小组可以从其他符合相应资格条件的供应商名单中，随机选择补充；补充后仍不足三家或者没有可供补充的合格供应商的，经同级政府采购监督管理部门审核同意，采购人可以按照符合采购需求、质量和货物（或服务）且报价最低的原则从已选出的候选供应商中确定成交供应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hAnsi="宋体" w:cs="宋体"/>
          <w:color w:val="auto"/>
          <w:sz w:val="24"/>
          <w:szCs w:val="24"/>
          <w:lang w:val="en-US" w:eastAsia="zh-CN"/>
        </w:rPr>
        <w:t>7</w:t>
      </w:r>
      <w:r>
        <w:rPr>
          <w:rFonts w:hint="eastAsia" w:ascii="宋体" w:hAnsi="宋体" w:eastAsia="宋体" w:cs="宋体"/>
          <w:color w:val="auto"/>
          <w:sz w:val="24"/>
          <w:szCs w:val="24"/>
          <w:lang w:val="en-US" w:eastAsia="zh-CN"/>
        </w:rPr>
        <w:t>）供应商应当按照谈判文件的变动情况和谈判小组的要求进行最终报价或重新提交响应文件，并由其法定代表人或授权代表签字或者加盖公章。由授权代表签字的，应当附法定代表人授权书。供应商为自然人的，应当由本人签字并附身份证明。</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4.最后报价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hAnsi="宋体" w:cs="宋体"/>
          <w:color w:val="auto"/>
          <w:lang w:val="zh-CN" w:eastAsia="zh-CN"/>
        </w:rPr>
      </w:pPr>
      <w:r>
        <w:rPr>
          <w:rFonts w:hint="eastAsia" w:hAnsi="宋体" w:cs="宋体"/>
          <w:color w:val="auto"/>
          <w:sz w:val="24"/>
          <w:szCs w:val="24"/>
          <w:lang w:val="en-US" w:eastAsia="zh-CN"/>
        </w:rPr>
        <w:t>（1）</w:t>
      </w:r>
      <w:r>
        <w:rPr>
          <w:rFonts w:hint="eastAsia" w:ascii="宋体" w:hAnsi="宋体" w:eastAsia="宋体" w:cs="宋体"/>
          <w:color w:val="auto"/>
          <w:sz w:val="24"/>
          <w:szCs w:val="24"/>
          <w:lang w:val="en-US" w:eastAsia="zh-CN"/>
        </w:rPr>
        <w:t>谈判结束后，谈判小组应当要求所有实质性响应的供应商在规定时间内提交最后报价。</w:t>
      </w:r>
      <w:r>
        <w:rPr>
          <w:rFonts w:hint="eastAsia" w:ascii="宋体" w:hAnsi="宋体" w:eastAsia="宋体" w:cs="宋体"/>
          <w:color w:val="auto"/>
          <w:lang w:val="zh-CN" w:eastAsia="zh-CN"/>
        </w:rPr>
        <w:t>一般情况最终报价不能高于其上一次报价</w:t>
      </w:r>
      <w:r>
        <w:rPr>
          <w:rFonts w:hint="eastAsia" w:hAnsi="宋体" w:cs="宋体"/>
          <w:color w:val="auto"/>
          <w:lang w:val="zh-CN" w:eastAsia="zh-CN"/>
        </w:rPr>
        <w:t>。</w:t>
      </w:r>
      <w:r>
        <w:rPr>
          <w:rFonts w:hint="eastAsia" w:ascii="宋体" w:hAnsi="宋体" w:eastAsia="宋体" w:cs="宋体"/>
          <w:color w:val="auto"/>
          <w:lang w:val="zh-CN" w:eastAsia="zh-CN"/>
        </w:rPr>
        <w:t>最终价格明显低于成本价或高于同业同期市场平均价的情形时，有效</w:t>
      </w:r>
      <w:r>
        <w:rPr>
          <w:rFonts w:hint="eastAsia" w:hAnsi="宋体" w:cs="宋体"/>
          <w:color w:val="auto"/>
          <w:lang w:val="zh-CN" w:eastAsia="zh-CN"/>
        </w:rPr>
        <w:t>响应供应商</w:t>
      </w:r>
      <w:r>
        <w:rPr>
          <w:rFonts w:hint="eastAsia" w:ascii="宋体" w:hAnsi="宋体" w:eastAsia="宋体" w:cs="宋体"/>
          <w:color w:val="auto"/>
          <w:lang w:val="zh-CN" w:eastAsia="zh-CN"/>
        </w:rPr>
        <w:t>必须说明原因。</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hAnsi="宋体" w:cs="宋体"/>
          <w:color w:val="auto"/>
          <w:sz w:val="24"/>
          <w:szCs w:val="24"/>
          <w:lang w:val="en-US" w:eastAsia="zh-CN"/>
        </w:rPr>
        <w:t>（2）</w:t>
      </w:r>
      <w:r>
        <w:rPr>
          <w:rFonts w:hint="eastAsia" w:hAnsi="宋体" w:cs="宋体"/>
          <w:color w:val="auto"/>
          <w:lang w:val="zh-CN" w:eastAsia="zh-CN"/>
        </w:rPr>
        <w:t>响应供应商</w:t>
      </w:r>
      <w:r>
        <w:rPr>
          <w:rFonts w:hint="eastAsia" w:ascii="宋体" w:hAnsi="宋体" w:eastAsia="宋体" w:cs="宋体"/>
          <w:color w:val="auto"/>
          <w:lang w:val="zh-CN" w:eastAsia="zh-CN"/>
        </w:rPr>
        <w:t>最终报价作为成交供应商成交金额的依据，</w:t>
      </w:r>
      <w:r>
        <w:rPr>
          <w:rFonts w:hint="eastAsia" w:ascii="宋体" w:hAnsi="宋体" w:eastAsia="宋体" w:cs="宋体"/>
          <w:color w:val="auto"/>
          <w:sz w:val="24"/>
          <w:szCs w:val="24"/>
          <w:lang w:val="en-US" w:eastAsia="zh-CN"/>
        </w:rPr>
        <w:t>最后报价是供应商响应文件的有效组成部分。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hAnsi="宋体" w:cs="宋体"/>
          <w:color w:val="auto"/>
          <w:sz w:val="24"/>
          <w:szCs w:val="24"/>
          <w:lang w:val="en-US" w:eastAsia="zh-CN"/>
        </w:rPr>
        <w:t>（3）</w:t>
      </w:r>
      <w:r>
        <w:rPr>
          <w:rFonts w:hint="eastAsia" w:ascii="宋体" w:hAnsi="宋体" w:eastAsia="宋体" w:cs="宋体"/>
          <w:color w:val="auto"/>
          <w:sz w:val="24"/>
          <w:szCs w:val="24"/>
          <w:lang w:val="en-US" w:eastAsia="zh-CN"/>
        </w:rPr>
        <w:t>已提交响应文件的供应商，在提交最后报价之前，可以根据谈判情况退出谈判。</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hAnsi="宋体" w:cs="宋体"/>
          <w:color w:val="auto"/>
          <w:lang w:val="en-US" w:eastAsia="zh-CN"/>
        </w:rPr>
        <w:t>5</w:t>
      </w:r>
      <w:r>
        <w:rPr>
          <w:rFonts w:hint="eastAsia" w:ascii="宋体" w:hAnsi="宋体" w:eastAsia="宋体" w:cs="宋体"/>
          <w:color w:val="auto"/>
          <w:lang w:val="en-US" w:eastAsia="zh-CN"/>
        </w:rPr>
        <w:t>.</w:t>
      </w:r>
      <w:r>
        <w:rPr>
          <w:rFonts w:hint="eastAsia" w:ascii="宋体" w:hAnsi="宋体" w:eastAsia="宋体" w:cs="宋体"/>
          <w:color w:val="auto"/>
          <w:lang w:val="zh-CN" w:eastAsia="zh-CN"/>
        </w:rPr>
        <w:t>综合评议</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1</w:t>
      </w:r>
      <w:r>
        <w:rPr>
          <w:rFonts w:hint="eastAsia" w:ascii="宋体" w:hAnsi="宋体" w:eastAsia="宋体" w:cs="宋体"/>
          <w:color w:val="auto"/>
          <w:lang w:val="zh-CN" w:eastAsia="zh-CN"/>
        </w:rPr>
        <w:t>）谈判小组进行综合评议。对提供产品质量、货物（或服务）均能满足谈判文件规定最低要求的</w:t>
      </w:r>
      <w:r>
        <w:rPr>
          <w:rFonts w:hint="eastAsia" w:hAnsi="宋体" w:cs="宋体"/>
          <w:color w:val="auto"/>
          <w:lang w:val="zh-CN" w:eastAsia="zh-CN"/>
        </w:rPr>
        <w:t>响应供应商</w:t>
      </w:r>
      <w:r>
        <w:rPr>
          <w:rFonts w:hint="eastAsia" w:ascii="宋体" w:hAnsi="宋体" w:eastAsia="宋体" w:cs="宋体"/>
          <w:color w:val="auto"/>
          <w:lang w:val="zh-CN" w:eastAsia="zh-CN"/>
        </w:rPr>
        <w:t>归列为推荐成交的候选对象，谈判小组依照候选成交供应商的报价顺序，以有效报价最低者确定为第一成交候选人，以有效报价次低者确定为第二成交候选人。</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72" w:firstLineChars="200"/>
        <w:textAlignment w:val="auto"/>
        <w:outlineLvl w:val="9"/>
        <w:rPr>
          <w:rFonts w:hint="eastAsia" w:ascii="宋体" w:hAnsi="宋体" w:eastAsia="宋体" w:cs="宋体"/>
          <w:color w:val="auto"/>
          <w:lang w:val="zh-CN" w:eastAsia="zh-CN"/>
        </w:rPr>
      </w:pPr>
      <w:r>
        <w:rPr>
          <w:rFonts w:hint="eastAsia" w:ascii="宋体" w:hAnsi="宋体" w:eastAsia="宋体" w:cs="宋体"/>
          <w:color w:val="auto"/>
          <w:lang w:val="zh-CN" w:eastAsia="zh-CN"/>
        </w:rPr>
        <w:t>（</w:t>
      </w:r>
      <w:r>
        <w:rPr>
          <w:rFonts w:hint="eastAsia" w:ascii="宋体" w:hAnsi="宋体" w:eastAsia="宋体" w:cs="宋体"/>
          <w:color w:val="auto"/>
          <w:lang w:val="en-US" w:eastAsia="zh-CN"/>
        </w:rPr>
        <w:t>2</w:t>
      </w:r>
      <w:r>
        <w:rPr>
          <w:rFonts w:hint="eastAsia" w:ascii="宋体" w:hAnsi="宋体" w:eastAsia="宋体" w:cs="宋体"/>
          <w:color w:val="auto"/>
          <w:lang w:val="zh-CN" w:eastAsia="zh-CN"/>
        </w:rPr>
        <w:t>）谈判小组没有义务必须接受最低报价的</w:t>
      </w:r>
      <w:r>
        <w:rPr>
          <w:rFonts w:hint="eastAsia" w:hAnsi="宋体" w:cs="宋体"/>
          <w:color w:val="auto"/>
          <w:lang w:val="zh-CN" w:eastAsia="zh-CN"/>
        </w:rPr>
        <w:t>响应供应商为成交供应商</w:t>
      </w:r>
      <w:r>
        <w:rPr>
          <w:rFonts w:hint="eastAsia" w:ascii="宋体" w:hAnsi="宋体" w:eastAsia="宋体" w:cs="宋体"/>
          <w:color w:val="auto"/>
          <w:lang w:val="zh-C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hAnsi="宋体" w:cs="宋体"/>
          <w:color w:val="auto"/>
          <w:sz w:val="24"/>
          <w:szCs w:val="24"/>
          <w:lang w:val="en-US" w:eastAsia="zh-CN"/>
        </w:rPr>
        <w:t>6</w:t>
      </w:r>
      <w:r>
        <w:rPr>
          <w:rFonts w:hint="eastAsia" w:ascii="宋体" w:hAnsi="宋体" w:eastAsia="宋体" w:cs="宋体"/>
          <w:color w:val="auto"/>
          <w:sz w:val="24"/>
          <w:szCs w:val="24"/>
          <w:lang w:val="en-US" w:eastAsia="zh-CN"/>
        </w:rPr>
        <w:t>.编写评审</w:t>
      </w:r>
      <w:r>
        <w:rPr>
          <w:rFonts w:hint="eastAsia" w:hAnsi="宋体" w:cs="宋体"/>
          <w:color w:val="auto"/>
          <w:sz w:val="24"/>
          <w:szCs w:val="24"/>
          <w:lang w:val="en-US" w:eastAsia="zh-CN"/>
        </w:rPr>
        <w:t>报告</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评审结果编写的报告，其主要内容包括：</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（1）谈判公告刊登的媒体名称、报价日期和地点；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（2）购买谈判文件的</w:t>
      </w:r>
      <w:r>
        <w:rPr>
          <w:rFonts w:hint="eastAsia" w:hAnsi="宋体" w:cs="宋体"/>
          <w:color w:val="auto"/>
          <w:sz w:val="24"/>
          <w:szCs w:val="24"/>
          <w:lang w:val="en-US" w:eastAsia="zh-CN"/>
        </w:rPr>
        <w:t>响应供应商</w:t>
      </w:r>
      <w:r>
        <w:rPr>
          <w:rFonts w:hint="eastAsia" w:ascii="宋体" w:hAnsi="宋体" w:eastAsia="宋体" w:cs="宋体"/>
          <w:color w:val="auto"/>
          <w:sz w:val="24"/>
          <w:szCs w:val="24"/>
          <w:lang w:val="en-US" w:eastAsia="zh-CN"/>
        </w:rPr>
        <w:t>名单和谈判小组成员名单；</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（3）评审方法和标准；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（4）报价记录和评审情况及说明，包括报价无效</w:t>
      </w:r>
      <w:r>
        <w:rPr>
          <w:rFonts w:hint="eastAsia" w:hAnsi="宋体" w:cs="宋体"/>
          <w:color w:val="auto"/>
          <w:sz w:val="24"/>
          <w:szCs w:val="24"/>
          <w:lang w:val="en-US" w:eastAsia="zh-CN"/>
        </w:rPr>
        <w:t>响应供应商</w:t>
      </w:r>
      <w:r>
        <w:rPr>
          <w:rFonts w:hint="eastAsia" w:ascii="宋体" w:hAnsi="宋体" w:eastAsia="宋体" w:cs="宋体"/>
          <w:color w:val="auto"/>
          <w:sz w:val="24"/>
          <w:szCs w:val="24"/>
          <w:lang w:val="en-US" w:eastAsia="zh-CN"/>
        </w:rPr>
        <w:t>名单及原因；</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（5）评审结果和成交候选供应商排序表；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（6）谈判小组确定成交供应商。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三、响应无效的情况</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1.有下列情形之一的，视为供应商串通响应，其响应无效</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（1）不同供应商的响应文件由同一单位或者个人编制；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（2）不同供应商委托同一单位或者个人办理响应事宜；</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（3）不同供应商的响应文件载明的项目管理成员或者联系人员为同一人；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（4）不同供应商的响应文件异常一致或者谈判报价呈规律性差异；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（5）不同供应商的响应文件相互混装；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（6）不同供应商的响应保证金或电子保函支付款为从同一单位或个人的账户转出。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（7）供应商上传的电子响应文件使用该项目其他响应供应商的数字证书加密的或加盖该项目的其他响应供应商的电子印章的。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说明：在评审过程中发现供应商有上述情形的，谈判小组应当认定其响应无效，并书面报告本级财政部门。同时，项目评审时被认定为串通响应的供应商不得参加该合同项下的采购活动。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2.有下列情形之一的，属于恶意串通响应：</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（1）供应商直接或者间接从采购人或者采购代理机构处获得其他供应商的相关情况并修改其响应文件；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（2）供应商按照采购人或者采购代理机构的授意撤换、修改响应文件；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（3）供应商之间协商报价、技术方案等响应文件的实质性内容；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（4）属于同一集团、协会、商会等组织成员的供应商按照该组织要求协同参加政府采购活动；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（5）供应商之间事先约定由某一特定供应商成交；</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（6）供应商之间商定部分供应商放弃参加政府采购活动或者放弃成交；</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（7）供应商与采购人或者采购代理机构之间、供应商相互之间，为谋求特定供应商成交或者排斥其他供应商的其他串通行为。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3.其他响应无效的情形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(1)评审期间，供应商没有按照谈判小组的要求提交法定代表人或其委托代理人签字的澄清、说明、补正或改变了响应文件的实质性内容的。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(2)响应文件提供虚假材料的。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(3)供应商以行贿手段谋取成交或者以其他弄虚作假方式响应的。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(4)供应商对采购人、采购代理机构、谈判小组及其工作人员施加影响，有碍协商公平、公正的。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(5)响应文件含有采购人不能接受的附加条件的。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(6)法律、法规和谈判文件规定的其他无效情形。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4.终止竞争性谈判采购活动的情形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出现下列情形之一的，采购人或者采购代理机构应当终止竞争性谈判采购活动，发布项目终止公告并说明原因，重新开展采购活动：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（1）因情况变化，不再符合规定的竞争性谈判采购方式适用情形的；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（2）出现影响采购公正的违法、违规行为的；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（3）在采购过程中符合谈判要求的供应商或者报价未超过采购预算的供应商不足3家的，但经财政部门批准的情形除外；</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（4）法律、法规以及谈判文件规定其他情形。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四、价格修正</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对报价的计算错误按以下原则修正：</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（1）响应文件中首轮报价表内容与响应文件中相应内容不一致的，以首轮报价表为准；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（2）大写金额和小写金额不一致的，以大写金额为准；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（3）单价金额小数点或者百分比有明显错位的，以报价一览表的总价为准，并修改单价；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（4）总价金额与按单价汇总金额不一致的，以单价金额计算结果为准。但是单价金额计算结果超过预算价的，对其按无效响应处理；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（5）若投标客户端上传的电子报价数据与电子响应文件价格不一致的，以电子报价数据为准。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同时出现两种以上不一致的，按照前款规定的顺序在系统上进行价格澄清。澄清后的价格加盖电子印章确认后产生约束力，但不得超出响应文件的范围或者改变响应文件的实质性内容，供应商不确认的，其响应无效。</w:t>
      </w:r>
    </w:p>
    <w:p>
      <w:pPr>
        <w:pStyle w:val="3"/>
        <w:rPr>
          <w:rFonts w:hint="eastAsia" w:ascii="宋体" w:hAnsi="宋体" w:eastAsia="宋体" w:cs="宋体"/>
          <w:color w:val="auto"/>
          <w:sz w:val="24"/>
          <w:szCs w:val="24"/>
          <w:lang w:val="zh-CN" w:eastAsia="zh-CN"/>
        </w:rPr>
      </w:pPr>
    </w:p>
    <w:p>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附表一</w:t>
      </w:r>
      <w:r>
        <w:rPr>
          <w:rFonts w:hint="eastAsia" w:hAnsi="宋体" w:cs="宋体"/>
          <w:color w:val="auto"/>
          <w:sz w:val="24"/>
          <w:szCs w:val="24"/>
          <w:lang w:val="en-US" w:eastAsia="zh-CN"/>
        </w:rPr>
        <w:t>：</w:t>
      </w:r>
      <w:r>
        <w:rPr>
          <w:rFonts w:hint="eastAsia" w:ascii="宋体" w:hAnsi="宋体" w:eastAsia="宋体" w:cs="宋体"/>
          <w:color w:val="auto"/>
          <w:sz w:val="24"/>
          <w:szCs w:val="24"/>
          <w:lang w:val="en-US" w:eastAsia="zh-CN"/>
        </w:rPr>
        <w:t>《资格性审查表》</w:t>
      </w:r>
    </w:p>
    <w:tbl>
      <w:tblPr>
        <w:tblStyle w:val="21"/>
        <w:tblW w:w="8306" w:type="dxa"/>
        <w:jc w:val="center"/>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4942"/>
        <w:gridCol w:w="247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rPr>
          <w:trHeight w:val="397" w:hRule="atLeast"/>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color w:val="auto"/>
                <w:sz w:val="24"/>
                <w:szCs w:val="24"/>
              </w:rPr>
              <w:t>序号</w:t>
            </w:r>
          </w:p>
        </w:tc>
        <w:tc>
          <w:tcPr>
            <w:tcW w:w="7416"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资格审查内容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397" w:hRule="atLeast"/>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1</w:t>
            </w:r>
          </w:p>
        </w:tc>
        <w:tc>
          <w:tcPr>
            <w:tcW w:w="494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color w:val="auto"/>
                <w:sz w:val="24"/>
                <w:szCs w:val="24"/>
              </w:rPr>
              <w:t>具有独立承担民事责任的能力</w:t>
            </w:r>
          </w:p>
        </w:tc>
        <w:tc>
          <w:tcPr>
            <w:tcW w:w="247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提交营业执照复印件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2</w:t>
            </w:r>
          </w:p>
        </w:tc>
        <w:tc>
          <w:tcPr>
            <w:tcW w:w="494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具有良好的商业信誉和健全的财务会计制度</w:t>
            </w:r>
          </w:p>
        </w:tc>
        <w:tc>
          <w:tcPr>
            <w:tcW w:w="247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提供</w:t>
            </w:r>
            <w:r>
              <w:rPr>
                <w:rFonts w:hint="eastAsia"/>
                <w:color w:val="auto"/>
                <w:sz w:val="24"/>
                <w:szCs w:val="24"/>
                <w:lang w:eastAsia="zh-CN"/>
              </w:rPr>
              <w:t>相应证明资料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3</w:t>
            </w:r>
          </w:p>
        </w:tc>
        <w:tc>
          <w:tcPr>
            <w:tcW w:w="494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有依法缴纳税收和社会保障资金的良好记录</w:t>
            </w:r>
          </w:p>
        </w:tc>
        <w:tc>
          <w:tcPr>
            <w:tcW w:w="247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提供相应证明材料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4</w:t>
            </w:r>
          </w:p>
        </w:tc>
        <w:tc>
          <w:tcPr>
            <w:tcW w:w="494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具有履行合同所必需的设备和专业技术能力</w:t>
            </w:r>
          </w:p>
        </w:tc>
        <w:tc>
          <w:tcPr>
            <w:tcW w:w="247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lang w:eastAsia="zh-CN"/>
              </w:rPr>
              <w:t>提供相应证明资料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5</w:t>
            </w:r>
          </w:p>
        </w:tc>
        <w:tc>
          <w:tcPr>
            <w:tcW w:w="494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参加本次采购活动前三年内在经营活动中没有重大违法记录</w:t>
            </w:r>
          </w:p>
        </w:tc>
        <w:tc>
          <w:tcPr>
            <w:tcW w:w="247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提供书面声明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42" w:hRule="atLeast"/>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6</w:t>
            </w:r>
          </w:p>
        </w:tc>
        <w:tc>
          <w:tcPr>
            <w:tcW w:w="494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本项目不接受联合体报价</w:t>
            </w:r>
            <w:r>
              <w:rPr>
                <w:rFonts w:hint="eastAsia"/>
                <w:color w:val="auto"/>
                <w:sz w:val="24"/>
                <w:szCs w:val="24"/>
                <w:lang w:eastAsia="zh-CN"/>
              </w:rPr>
              <w:t>，不允许</w:t>
            </w:r>
            <w:r>
              <w:rPr>
                <w:rFonts w:hint="eastAsia"/>
                <w:color w:val="auto"/>
                <w:sz w:val="24"/>
                <w:szCs w:val="24"/>
              </w:rPr>
              <w:t>转包</w:t>
            </w:r>
          </w:p>
        </w:tc>
        <w:tc>
          <w:tcPr>
            <w:tcW w:w="247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lang w:eastAsia="zh-CN"/>
              </w:rPr>
              <w:t>提供证明资料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90"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sz w:val="24"/>
                <w:szCs w:val="24"/>
              </w:rPr>
            </w:pPr>
            <w:r>
              <w:rPr>
                <w:color w:val="auto"/>
                <w:sz w:val="24"/>
                <w:szCs w:val="24"/>
              </w:rPr>
              <w:t>7</w:t>
            </w:r>
          </w:p>
        </w:tc>
        <w:tc>
          <w:tcPr>
            <w:tcW w:w="494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rPr>
              <w:t>已登记报名并成功</w:t>
            </w:r>
            <w:r>
              <w:rPr>
                <w:rFonts w:hint="eastAsia"/>
                <w:color w:val="auto"/>
                <w:sz w:val="24"/>
                <w:szCs w:val="24"/>
                <w:lang w:eastAsia="zh-CN"/>
              </w:rPr>
              <w:t>获取</w:t>
            </w:r>
            <w:r>
              <w:rPr>
                <w:rFonts w:hint="eastAsia"/>
                <w:color w:val="auto"/>
                <w:sz w:val="24"/>
                <w:szCs w:val="24"/>
              </w:rPr>
              <w:t>本</w:t>
            </w:r>
            <w:r>
              <w:rPr>
                <w:rFonts w:hint="eastAsia"/>
                <w:color w:val="auto"/>
                <w:sz w:val="24"/>
                <w:szCs w:val="24"/>
                <w:lang w:eastAsia="zh-CN"/>
              </w:rPr>
              <w:t>谈判文件</w:t>
            </w:r>
            <w:r>
              <w:rPr>
                <w:rFonts w:hint="eastAsia"/>
                <w:color w:val="auto"/>
                <w:sz w:val="24"/>
                <w:szCs w:val="24"/>
              </w:rPr>
              <w:t>的</w:t>
            </w:r>
            <w:r>
              <w:rPr>
                <w:rFonts w:hint="eastAsia"/>
                <w:color w:val="auto"/>
                <w:sz w:val="24"/>
                <w:szCs w:val="24"/>
                <w:lang w:eastAsia="zh-CN"/>
              </w:rPr>
              <w:t>响应供应商</w:t>
            </w:r>
          </w:p>
        </w:tc>
        <w:tc>
          <w:tcPr>
            <w:tcW w:w="2474"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color w:val="auto"/>
                <w:sz w:val="24"/>
                <w:szCs w:val="24"/>
              </w:rPr>
            </w:pPr>
            <w:r>
              <w:rPr>
                <w:rFonts w:hint="eastAsia"/>
                <w:color w:val="auto"/>
                <w:sz w:val="24"/>
                <w:szCs w:val="24"/>
                <w:lang w:eastAsia="zh-CN"/>
              </w:rPr>
              <w:t>提供证明资料</w:t>
            </w:r>
          </w:p>
        </w:tc>
      </w:tr>
    </w:tbl>
    <w:p>
      <w:pPr>
        <w:rPr>
          <w:rFonts w:hint="eastAsia" w:ascii="宋体" w:hAnsi="宋体" w:eastAsia="宋体" w:cs="宋体"/>
          <w:color w:val="auto"/>
          <w:sz w:val="24"/>
          <w:szCs w:val="24"/>
          <w:lang w:val="en-US" w:eastAsia="zh-CN"/>
        </w:rPr>
      </w:pPr>
    </w:p>
    <w:p>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附表二</w:t>
      </w:r>
      <w:r>
        <w:rPr>
          <w:rFonts w:hint="eastAsia" w:hAnsi="宋体" w:cs="宋体"/>
          <w:color w:val="auto"/>
          <w:sz w:val="24"/>
          <w:szCs w:val="24"/>
          <w:lang w:val="en-US" w:eastAsia="zh-CN"/>
        </w:rPr>
        <w:t>：</w:t>
      </w:r>
      <w:r>
        <w:rPr>
          <w:rFonts w:hint="eastAsia" w:ascii="宋体" w:hAnsi="宋体" w:eastAsia="宋体" w:cs="宋体"/>
          <w:color w:val="auto"/>
          <w:sz w:val="24"/>
          <w:szCs w:val="24"/>
          <w:lang w:val="en-US" w:eastAsia="zh-CN"/>
        </w:rPr>
        <w:t>《符合性审查表》</w:t>
      </w:r>
    </w:p>
    <w:tbl>
      <w:tblPr>
        <w:tblStyle w:val="21"/>
        <w:tblW w:w="8306" w:type="dxa"/>
        <w:jc w:val="center"/>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7"/>
        <w:gridCol w:w="2025"/>
        <w:gridCol w:w="547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序号</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评审点要求概况</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1</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签署、盖章</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按照谈判文件规定要求签署、盖章且谈判响应文件有法定代表人签字，或签字人有法定代表人有效授权书的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2</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响应承诺函</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响应承诺函已提交并符合谈判文件要求的，且响应有效期满足谈判文件要求的；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3</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★号条款</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满足谈判文件中要求的实质性响应条款的（即标注★号条款）；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4</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无效响应</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谈判响应文件没有谈判文件中规定的被视为无效响应的其它条款的；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5</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附加条件</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谈判响应文件未含有采购人不能接受的附加条件的；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color w:val="auto"/>
              </w:rPr>
            </w:pPr>
            <w:r>
              <w:rPr>
                <w:color w:val="auto"/>
              </w:rPr>
              <w:t>6</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响应报价</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响应报价符合谈判文件要求的。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807" w:type="dxa"/>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eastAsia="宋体"/>
                <w:color w:val="auto"/>
                <w:lang w:eastAsia="zh-CN"/>
              </w:rPr>
            </w:pPr>
            <w:r>
              <w:rPr>
                <w:rFonts w:hint="eastAsia"/>
                <w:color w:val="auto"/>
                <w:lang w:val="en-US" w:eastAsia="zh-CN"/>
              </w:rPr>
              <w:t>7</w:t>
            </w:r>
          </w:p>
        </w:tc>
        <w:tc>
          <w:tcPr>
            <w:tcW w:w="2025"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其它响应无效情形</w:t>
            </w:r>
          </w:p>
        </w:tc>
        <w:tc>
          <w:tcPr>
            <w:tcW w:w="5474" w:type="dxa"/>
          </w:tcPr>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color w:val="auto"/>
              </w:rPr>
            </w:pPr>
            <w:r>
              <w:rPr>
                <w:color w:val="auto"/>
              </w:rPr>
              <w:t>按有关法律、法规、规章不属于响应无效的。</w:t>
            </w:r>
          </w:p>
        </w:tc>
      </w:tr>
    </w:tbl>
    <w:p>
      <w:pPr>
        <w:pStyle w:val="3"/>
        <w:rPr>
          <w:rFonts w:hint="eastAsia"/>
          <w:color w:val="auto"/>
          <w:lang w:val="zh-CN" w:eastAsia="zh-CN"/>
        </w:rPr>
      </w:pPr>
    </w:p>
    <w:p>
      <w:pPr>
        <w:keepNext/>
        <w:keepLines/>
        <w:pageBreakBefore/>
        <w:widowControl w:val="0"/>
        <w:kinsoku/>
        <w:wordWrap/>
        <w:overflowPunct/>
        <w:topLinePunct w:val="0"/>
        <w:autoSpaceDE w:val="0"/>
        <w:autoSpaceDN w:val="0"/>
        <w:bidi w:val="0"/>
        <w:adjustRightInd w:val="0"/>
        <w:snapToGrid/>
        <w:spacing w:line="360" w:lineRule="auto"/>
        <w:jc w:val="center"/>
        <w:textAlignment w:val="auto"/>
        <w:outlineLvl w:val="0"/>
        <w:rPr>
          <w:rFonts w:hAnsi="宋体"/>
          <w:b/>
          <w:bCs/>
          <w:color w:val="auto"/>
          <w:kern w:val="44"/>
          <w:sz w:val="32"/>
          <w:szCs w:val="32"/>
          <w:lang w:val="zh-CN"/>
        </w:rPr>
      </w:pPr>
      <w:bookmarkStart w:id="43" w:name="_Toc30131"/>
      <w:r>
        <w:rPr>
          <w:rFonts w:hint="eastAsia" w:hAnsi="宋体"/>
          <w:b/>
          <w:bCs/>
          <w:color w:val="auto"/>
          <w:kern w:val="44"/>
          <w:sz w:val="32"/>
          <w:szCs w:val="32"/>
          <w:lang w:val="zh-CN"/>
        </w:rPr>
        <w:br w:type="textWrapping"/>
      </w:r>
      <w:r>
        <w:rPr>
          <w:rFonts w:hint="eastAsia" w:hAnsi="宋体"/>
          <w:b/>
          <w:bCs/>
          <w:color w:val="auto"/>
          <w:kern w:val="44"/>
          <w:sz w:val="32"/>
          <w:szCs w:val="32"/>
          <w:lang w:val="zh-CN"/>
        </w:rPr>
        <w:t>第五篇  合同条款格式</w:t>
      </w:r>
      <w:bookmarkEnd w:id="40"/>
      <w:bookmarkEnd w:id="43"/>
    </w:p>
    <w:p>
      <w:pPr>
        <w:keepNext w:val="0"/>
        <w:keepLines w:val="0"/>
        <w:pageBreakBefore w:val="0"/>
        <w:widowControl w:val="0"/>
        <w:kinsoku/>
        <w:wordWrap/>
        <w:overflowPunct/>
        <w:topLinePunct w:val="0"/>
        <w:autoSpaceDE/>
        <w:autoSpaceDN/>
        <w:bidi w:val="0"/>
        <w:adjustRightInd/>
        <w:snapToGrid/>
        <w:spacing w:line="480" w:lineRule="exact"/>
        <w:ind w:firstLine="472" w:firstLineChars="200"/>
        <w:jc w:val="left"/>
        <w:textAlignment w:val="auto"/>
        <w:outlineLvl w:val="9"/>
        <w:rPr>
          <w:rFonts w:ascii="宋体"/>
          <w:b/>
          <w:color w:val="auto"/>
          <w:sz w:val="44"/>
        </w:rPr>
      </w:pPr>
      <w:bookmarkStart w:id="44" w:name="_Toc382840847"/>
      <w:bookmarkStart w:id="45" w:name="_Toc382926899"/>
      <w:r>
        <w:rPr>
          <w:rFonts w:hint="eastAsia" w:eastAsia="宋体" w:cs="Times New Roman"/>
          <w:color w:val="auto"/>
          <w:sz w:val="24"/>
          <w:szCs w:val="24"/>
        </w:rPr>
        <w:t>注：本合同仅为合同的参考文本，合同签订双方可根据项目的具体要求进行修订，但不得偏离实质性条款。</w:t>
      </w:r>
      <w:r>
        <w:rPr>
          <w:rFonts w:hint="eastAsia" w:ascii="宋体" w:hAnsi="宋体"/>
          <w:b w:val="0"/>
          <w:bCs w:val="0"/>
          <w:color w:val="auto"/>
          <w:sz w:val="24"/>
          <w:szCs w:val="24"/>
        </w:rPr>
        <w:t>最终以甲方提供的样本并经甲乙双方协商一致的合同为准。</w:t>
      </w:r>
    </w:p>
    <w:p>
      <w:pPr>
        <w:pStyle w:val="17"/>
        <w:kinsoku/>
        <w:overflowPunct/>
        <w:topLinePunct w:val="0"/>
        <w:bidi w:val="0"/>
        <w:outlineLvl w:val="9"/>
        <w:rPr>
          <w:rFonts w:hint="eastAsia"/>
          <w:color w:val="auto"/>
        </w:rPr>
      </w:pPr>
    </w:p>
    <w:p>
      <w:pPr>
        <w:kinsoku/>
        <w:overflowPunct/>
        <w:topLinePunct w:val="0"/>
        <w:bidi w:val="0"/>
        <w:outlineLvl w:val="9"/>
        <w:rPr>
          <w:rFonts w:hint="eastAsia"/>
          <w:color w:val="auto"/>
        </w:rPr>
      </w:pPr>
    </w:p>
    <w:p>
      <w:pPr>
        <w:kinsoku/>
        <w:overflowPunct/>
        <w:topLinePunct w:val="0"/>
        <w:bidi w:val="0"/>
        <w:spacing w:line="360" w:lineRule="auto"/>
        <w:jc w:val="center"/>
        <w:outlineLvl w:val="9"/>
        <w:rPr>
          <w:rFonts w:hint="eastAsia" w:hAnsi="宋体" w:eastAsia="宋体" w:cs="Times New Roman"/>
          <w:b/>
          <w:color w:val="auto"/>
          <w:sz w:val="44"/>
          <w:szCs w:val="44"/>
          <w:lang w:eastAsia="zh-CN"/>
        </w:rPr>
      </w:pPr>
      <w:r>
        <w:rPr>
          <w:rFonts w:hint="eastAsia" w:hAnsi="宋体" w:eastAsia="宋体" w:cs="Times New Roman"/>
          <w:b/>
          <w:color w:val="auto"/>
          <w:sz w:val="44"/>
          <w:szCs w:val="44"/>
          <w:lang w:eastAsia="zh-CN"/>
        </w:rPr>
        <w:t>南方医科大学第七附属医院</w:t>
      </w:r>
    </w:p>
    <w:p>
      <w:pPr>
        <w:kinsoku/>
        <w:overflowPunct/>
        <w:topLinePunct w:val="0"/>
        <w:bidi w:val="0"/>
        <w:spacing w:line="360" w:lineRule="auto"/>
        <w:jc w:val="center"/>
        <w:outlineLvl w:val="9"/>
        <w:rPr>
          <w:rFonts w:hint="eastAsia" w:hAnsi="宋体" w:eastAsia="宋体" w:cs="Times New Roman"/>
          <w:b/>
          <w:color w:val="auto"/>
          <w:sz w:val="44"/>
          <w:szCs w:val="44"/>
          <w:lang w:eastAsia="zh-CN"/>
        </w:rPr>
      </w:pPr>
      <w:r>
        <w:rPr>
          <w:rFonts w:hint="eastAsia" w:hAnsi="宋体" w:cs="Times New Roman"/>
          <w:b/>
          <w:color w:val="auto"/>
          <w:sz w:val="44"/>
          <w:szCs w:val="44"/>
          <w:lang w:eastAsia="zh-CN"/>
        </w:rPr>
        <w:t>洗衣房洗涤用品采购项目（第二次）</w:t>
      </w:r>
    </w:p>
    <w:p>
      <w:pPr>
        <w:kinsoku/>
        <w:overflowPunct/>
        <w:topLinePunct w:val="0"/>
        <w:bidi w:val="0"/>
        <w:ind w:right="-26"/>
        <w:jc w:val="center"/>
        <w:outlineLvl w:val="9"/>
        <w:rPr>
          <w:rFonts w:hAnsi="宋体" w:eastAsia="宋体"/>
          <w:b/>
          <w:color w:val="auto"/>
          <w:sz w:val="36"/>
          <w:szCs w:val="36"/>
        </w:rPr>
      </w:pPr>
      <w:r>
        <w:rPr>
          <w:rFonts w:hint="eastAsia" w:hAnsi="宋体" w:eastAsia="宋体"/>
          <w:b/>
          <w:color w:val="auto"/>
          <w:sz w:val="36"/>
          <w:szCs w:val="36"/>
        </w:rPr>
        <w:t>（合同编号：</w:t>
      </w:r>
      <w:r>
        <w:rPr>
          <w:rFonts w:hint="eastAsia" w:hAnsi="宋体" w:eastAsia="宋体"/>
          <w:b/>
          <w:color w:val="auto"/>
          <w:sz w:val="36"/>
          <w:szCs w:val="36"/>
          <w:lang w:val="en-US" w:eastAsia="zh-CN"/>
        </w:rPr>
        <w:t xml:space="preserve">   </w:t>
      </w:r>
      <w:r>
        <w:rPr>
          <w:rFonts w:hint="eastAsia" w:hAnsi="宋体" w:eastAsia="宋体"/>
          <w:b/>
          <w:color w:val="auto"/>
          <w:sz w:val="36"/>
          <w:szCs w:val="36"/>
        </w:rPr>
        <w:t>）</w:t>
      </w:r>
    </w:p>
    <w:p>
      <w:pPr>
        <w:kinsoku/>
        <w:overflowPunct/>
        <w:topLinePunct w:val="0"/>
        <w:bidi w:val="0"/>
        <w:spacing w:line="360" w:lineRule="auto"/>
        <w:jc w:val="center"/>
        <w:outlineLvl w:val="9"/>
        <w:rPr>
          <w:rFonts w:hint="eastAsia" w:ascii="黑体" w:eastAsia="黑体"/>
          <w:b/>
          <w:color w:val="auto"/>
          <w:sz w:val="44"/>
          <w:szCs w:val="44"/>
        </w:rPr>
      </w:pPr>
    </w:p>
    <w:p>
      <w:pPr>
        <w:kinsoku/>
        <w:overflowPunct/>
        <w:topLinePunct w:val="0"/>
        <w:bidi w:val="0"/>
        <w:spacing w:line="360" w:lineRule="auto"/>
        <w:jc w:val="center"/>
        <w:outlineLvl w:val="9"/>
        <w:rPr>
          <w:rFonts w:hint="eastAsia" w:ascii="黑体" w:hAnsi="宋体" w:eastAsia="黑体"/>
          <w:b/>
          <w:color w:val="auto"/>
          <w:sz w:val="72"/>
          <w:szCs w:val="72"/>
        </w:rPr>
      </w:pPr>
      <w:r>
        <w:rPr>
          <w:rFonts w:hint="eastAsia" w:ascii="黑体" w:hAnsi="宋体" w:eastAsia="黑体"/>
          <w:b/>
          <w:color w:val="auto"/>
          <w:sz w:val="72"/>
          <w:szCs w:val="72"/>
          <w:lang w:eastAsia="zh-CN"/>
        </w:rPr>
        <w:t>采</w:t>
      </w:r>
      <w:r>
        <w:rPr>
          <w:rFonts w:hint="eastAsia" w:ascii="黑体" w:hAnsi="宋体" w:eastAsia="黑体"/>
          <w:b/>
          <w:color w:val="auto"/>
          <w:sz w:val="72"/>
          <w:szCs w:val="72"/>
          <w:lang w:val="en-US" w:eastAsia="zh-CN"/>
        </w:rPr>
        <w:t xml:space="preserve">  </w:t>
      </w:r>
      <w:r>
        <w:rPr>
          <w:rFonts w:hint="eastAsia" w:ascii="黑体" w:hAnsi="宋体" w:eastAsia="黑体"/>
          <w:b/>
          <w:color w:val="auto"/>
          <w:sz w:val="72"/>
          <w:szCs w:val="72"/>
          <w:lang w:eastAsia="zh-CN"/>
        </w:rPr>
        <w:t>购</w:t>
      </w:r>
      <w:r>
        <w:rPr>
          <w:rFonts w:hint="eastAsia" w:ascii="黑体" w:hAnsi="宋体" w:eastAsia="黑体"/>
          <w:b/>
          <w:color w:val="auto"/>
          <w:sz w:val="72"/>
          <w:szCs w:val="72"/>
        </w:rPr>
        <w:t xml:space="preserve">  合  同</w:t>
      </w:r>
    </w:p>
    <w:p>
      <w:pPr>
        <w:kinsoku/>
        <w:overflowPunct/>
        <w:topLinePunct w:val="0"/>
        <w:bidi w:val="0"/>
        <w:outlineLvl w:val="9"/>
        <w:rPr>
          <w:rFonts w:hint="eastAsia"/>
          <w:color w:val="auto"/>
        </w:rPr>
      </w:pPr>
    </w:p>
    <w:p>
      <w:pPr>
        <w:kinsoku/>
        <w:overflowPunct/>
        <w:topLinePunct w:val="0"/>
        <w:bidi w:val="0"/>
        <w:outlineLvl w:val="9"/>
        <w:rPr>
          <w:rFonts w:hint="eastAsia"/>
          <w:color w:val="auto"/>
        </w:rPr>
      </w:pPr>
    </w:p>
    <w:p>
      <w:pPr>
        <w:kinsoku/>
        <w:overflowPunct/>
        <w:topLinePunct w:val="0"/>
        <w:bidi w:val="0"/>
        <w:outlineLvl w:val="9"/>
        <w:rPr>
          <w:rFonts w:hint="eastAsia"/>
          <w:color w:val="auto"/>
        </w:rPr>
      </w:pPr>
    </w:p>
    <w:p>
      <w:pPr>
        <w:kinsoku/>
        <w:overflowPunct/>
        <w:topLinePunct w:val="0"/>
        <w:bidi w:val="0"/>
        <w:outlineLvl w:val="9"/>
        <w:rPr>
          <w:rFonts w:hint="eastAsia"/>
          <w:color w:val="auto"/>
        </w:rPr>
      </w:pPr>
    </w:p>
    <w:p>
      <w:pPr>
        <w:kinsoku/>
        <w:overflowPunct/>
        <w:topLinePunct w:val="0"/>
        <w:bidi w:val="0"/>
        <w:ind w:firstLine="1896" w:firstLineChars="600"/>
        <w:outlineLvl w:val="9"/>
        <w:rPr>
          <w:rFonts w:hint="eastAsia" w:hAnsi="宋体"/>
          <w:color w:val="auto"/>
          <w:sz w:val="32"/>
          <w:szCs w:val="32"/>
        </w:rPr>
      </w:pPr>
      <w:r>
        <w:rPr>
          <w:rFonts w:hint="eastAsia" w:hAnsi="宋体"/>
          <w:color w:val="auto"/>
          <w:sz w:val="32"/>
          <w:szCs w:val="32"/>
        </w:rPr>
        <w:t>甲方：</w:t>
      </w:r>
    </w:p>
    <w:p>
      <w:pPr>
        <w:kinsoku/>
        <w:overflowPunct/>
        <w:topLinePunct w:val="0"/>
        <w:bidi w:val="0"/>
        <w:ind w:firstLine="1896" w:firstLineChars="600"/>
        <w:outlineLvl w:val="9"/>
        <w:rPr>
          <w:rFonts w:hint="eastAsia" w:hAnsi="宋体"/>
          <w:color w:val="auto"/>
          <w:sz w:val="32"/>
          <w:szCs w:val="32"/>
        </w:rPr>
      </w:pPr>
      <w:r>
        <w:rPr>
          <w:rFonts w:hint="eastAsia" w:hAnsi="宋体"/>
          <w:color w:val="auto"/>
          <w:sz w:val="32"/>
          <w:szCs w:val="32"/>
        </w:rPr>
        <w:t>乙方：</w:t>
      </w:r>
    </w:p>
    <w:p>
      <w:pPr>
        <w:kinsoku/>
        <w:overflowPunct/>
        <w:topLinePunct w:val="0"/>
        <w:bidi w:val="0"/>
        <w:ind w:firstLine="1896" w:firstLineChars="600"/>
        <w:outlineLvl w:val="9"/>
        <w:rPr>
          <w:rFonts w:hint="eastAsia" w:hAnsi="宋体"/>
          <w:color w:val="auto"/>
        </w:rPr>
        <w:sectPr>
          <w:footerReference r:id="rId5" w:type="default"/>
          <w:pgSz w:w="11906" w:h="16838"/>
          <w:pgMar w:top="1417" w:right="1417" w:bottom="1417" w:left="1474" w:header="1531" w:footer="1531" w:gutter="0"/>
          <w:pgNumType w:fmt="decimal" w:start="1"/>
          <w:cols w:space="720" w:num="1"/>
          <w:docGrid w:type="linesAndChars" w:linePitch="584" w:charSpace="-849"/>
        </w:sectPr>
      </w:pPr>
      <w:r>
        <w:rPr>
          <w:rFonts w:hint="eastAsia" w:hAnsi="宋体"/>
          <w:color w:val="auto"/>
          <w:sz w:val="32"/>
          <w:szCs w:val="32"/>
        </w:rPr>
        <w:t>签署地点：</w:t>
      </w:r>
      <w:r>
        <w:rPr>
          <w:rFonts w:hint="eastAsia" w:hAnsi="宋体"/>
          <w:color w:val="auto"/>
        </w:rPr>
        <w:t xml:space="preserve">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lang w:eastAsia="zh-CN"/>
        </w:rPr>
        <w:t>南方医科大学第七附属医院</w:t>
      </w:r>
      <w:r>
        <w:rPr>
          <w:rFonts w:hint="eastAsia" w:ascii="宋体" w:hAnsi="宋体" w:eastAsia="宋体" w:cs="Times New Roman"/>
          <w:color w:val="auto"/>
          <w:sz w:val="24"/>
          <w:szCs w:val="24"/>
          <w:highlight w:val="none"/>
        </w:rPr>
        <w:t xml:space="preserve">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法人代表：</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电话：0757-85631665</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传真：0757-85623006</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地址：佛山市南海区里水镇里官路得胜段28号</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邮箱：</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乙方：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法人代表：</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电话：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传真：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邮箱：</w:t>
      </w:r>
    </w:p>
    <w:p>
      <w:pPr>
        <w:kinsoku/>
        <w:overflowPunct/>
        <w:topLinePunct w:val="0"/>
        <w:bidi w:val="0"/>
        <w:spacing w:line="360" w:lineRule="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tabs>
          <w:tab w:val="left" w:pos="720"/>
        </w:tabs>
        <w:kinsoku/>
        <w:overflowPunct/>
        <w:topLinePunct w:val="0"/>
        <w:bidi w:val="0"/>
        <w:spacing w:line="360" w:lineRule="auto"/>
        <w:outlineLvl w:val="9"/>
        <w:rPr>
          <w:rFonts w:hint="eastAsia" w:ascii="宋体" w:hAnsi="宋体" w:eastAsia="宋体" w:cs="宋体"/>
          <w:color w:val="auto"/>
          <w:sz w:val="24"/>
          <w:szCs w:val="24"/>
        </w:rPr>
      </w:pPr>
    </w:p>
    <w:p>
      <w:pPr>
        <w:keepNext w:val="0"/>
        <w:keepLines w:val="0"/>
        <w:pageBreakBefore w:val="0"/>
        <w:widowControl w:val="0"/>
        <w:tabs>
          <w:tab w:val="left" w:pos="720"/>
        </w:tabs>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项目名称： </w:t>
      </w:r>
    </w:p>
    <w:p>
      <w:pPr>
        <w:keepNext w:val="0"/>
        <w:keepLines w:val="0"/>
        <w:pageBreakBefore w:val="0"/>
        <w:widowControl w:val="0"/>
        <w:tabs>
          <w:tab w:val="left" w:pos="720"/>
        </w:tabs>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b/>
          <w:color w:val="auto"/>
          <w:sz w:val="24"/>
          <w:szCs w:val="24"/>
        </w:rPr>
      </w:pPr>
      <w:r>
        <w:rPr>
          <w:rFonts w:hint="eastAsia" w:ascii="宋体" w:hAnsi="宋体" w:eastAsia="宋体" w:cs="宋体"/>
          <w:color w:val="auto"/>
          <w:sz w:val="24"/>
          <w:szCs w:val="24"/>
        </w:rPr>
        <w:t>项目编号：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rPr>
      </w:pPr>
      <w:r>
        <w:rPr>
          <w:rFonts w:hint="eastAsia" w:ascii="宋体" w:hAnsi="宋体" w:eastAsia="宋体" w:cs="宋体"/>
          <w:color w:val="auto"/>
          <w:kern w:val="28"/>
          <w:sz w:val="24"/>
          <w:szCs w:val="24"/>
        </w:rPr>
        <w:t>根据</w:t>
      </w:r>
      <w:r>
        <w:rPr>
          <w:rFonts w:hint="eastAsia" w:ascii="宋体" w:hAnsi="宋体" w:eastAsia="宋体" w:cs="宋体"/>
          <w:color w:val="auto"/>
          <w:kern w:val="28"/>
          <w:sz w:val="24"/>
          <w:szCs w:val="24"/>
          <w:lang w:val="en-US" w:eastAsia="zh-CN"/>
        </w:rPr>
        <w:t>“</w:t>
      </w:r>
      <w:r>
        <w:rPr>
          <w:rFonts w:hint="eastAsia" w:hAnsi="宋体" w:cs="宋体"/>
          <w:color w:val="auto"/>
          <w:kern w:val="28"/>
          <w:sz w:val="24"/>
          <w:szCs w:val="24"/>
          <w:lang w:eastAsia="zh-CN"/>
        </w:rPr>
        <w:t>洗衣房洗涤用品采购项目（第二次）</w:t>
      </w:r>
      <w:r>
        <w:rPr>
          <w:rFonts w:hint="eastAsia" w:ascii="宋体" w:hAnsi="宋体" w:eastAsia="宋体" w:cs="宋体"/>
          <w:color w:val="auto"/>
          <w:kern w:val="28"/>
          <w:sz w:val="24"/>
          <w:szCs w:val="24"/>
          <w:lang w:val="en-US" w:eastAsia="zh-CN"/>
        </w:rPr>
        <w:t>”</w:t>
      </w:r>
      <w:r>
        <w:rPr>
          <w:rFonts w:hint="eastAsia" w:ascii="宋体" w:hAnsi="宋体" w:eastAsia="宋体" w:cs="宋体"/>
          <w:color w:val="auto"/>
          <w:kern w:val="28"/>
          <w:sz w:val="24"/>
          <w:szCs w:val="24"/>
        </w:rPr>
        <w:t>的采购结果，按照《中华人民共和国政府采购法》、《</w:t>
      </w:r>
      <w:r>
        <w:rPr>
          <w:rFonts w:hint="eastAsia" w:ascii="宋体" w:hAnsi="宋体" w:eastAsia="宋体" w:cs="宋体"/>
          <w:color w:val="auto"/>
          <w:kern w:val="28"/>
          <w:sz w:val="24"/>
          <w:szCs w:val="24"/>
          <w:lang w:eastAsia="zh-CN"/>
        </w:rPr>
        <w:t>中华人民共和国民法典</w:t>
      </w:r>
      <w:r>
        <w:rPr>
          <w:rFonts w:hint="eastAsia" w:ascii="宋体" w:hAnsi="宋体" w:eastAsia="宋体" w:cs="宋体"/>
          <w:color w:val="auto"/>
          <w:kern w:val="28"/>
          <w:sz w:val="24"/>
          <w:szCs w:val="24"/>
        </w:rPr>
        <w:t>》</w:t>
      </w:r>
      <w:r>
        <w:rPr>
          <w:rFonts w:hint="eastAsia" w:ascii="宋体" w:hAnsi="宋体" w:eastAsia="宋体" w:cs="宋体"/>
          <w:color w:val="auto"/>
          <w:kern w:val="28"/>
          <w:sz w:val="24"/>
          <w:szCs w:val="24"/>
          <w:lang w:eastAsia="zh-CN"/>
        </w:rPr>
        <w:t>（合同编）</w:t>
      </w:r>
      <w:r>
        <w:rPr>
          <w:rFonts w:hint="eastAsia" w:ascii="宋体" w:hAnsi="宋体" w:eastAsia="宋体" w:cs="宋体"/>
          <w:color w:val="auto"/>
          <w:kern w:val="28"/>
          <w:sz w:val="24"/>
          <w:szCs w:val="24"/>
        </w:rPr>
        <w:t>的相关规定，经双方协商，本着平等互利和诚实信用的原则，一致同意签订本合同如下。</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一、</w:t>
      </w:r>
      <w:r>
        <w:rPr>
          <w:rFonts w:hint="eastAsia" w:ascii="宋体" w:hAnsi="宋体" w:eastAsia="宋体" w:cs="宋体"/>
          <w:b/>
          <w:color w:val="auto"/>
          <w:sz w:val="24"/>
          <w:szCs w:val="24"/>
        </w:rPr>
        <w:t>合同标的</w:t>
      </w:r>
    </w:p>
    <w:tbl>
      <w:tblPr>
        <w:tblStyle w:val="21"/>
        <w:tblW w:w="8483" w:type="dxa"/>
        <w:jc w:val="center"/>
        <w:tblInd w:w="0" w:type="dxa"/>
        <w:tblLayout w:type="fixed"/>
        <w:tblCellMar>
          <w:top w:w="0" w:type="dxa"/>
          <w:left w:w="30" w:type="dxa"/>
          <w:bottom w:w="0" w:type="dxa"/>
          <w:right w:w="30" w:type="dxa"/>
        </w:tblCellMar>
      </w:tblPr>
      <w:tblGrid>
        <w:gridCol w:w="630"/>
        <w:gridCol w:w="1550"/>
        <w:gridCol w:w="1725"/>
        <w:gridCol w:w="1050"/>
        <w:gridCol w:w="1035"/>
        <w:gridCol w:w="1035"/>
        <w:gridCol w:w="1458"/>
      </w:tblGrid>
      <w:tr>
        <w:tblPrEx>
          <w:tblLayout w:type="fixed"/>
          <w:tblCellMar>
            <w:top w:w="0" w:type="dxa"/>
            <w:left w:w="30" w:type="dxa"/>
            <w:bottom w:w="0" w:type="dxa"/>
            <w:right w:w="30" w:type="dxa"/>
          </w:tblCellMar>
        </w:tblPrEx>
        <w:trPr>
          <w:cantSplit/>
          <w:trHeight w:val="438" w:hRule="atLeast"/>
          <w:jc w:val="center"/>
        </w:trPr>
        <w:tc>
          <w:tcPr>
            <w:tcW w:w="63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r>
              <w:rPr>
                <w:rFonts w:hint="eastAsia" w:hAnsi="宋体"/>
                <w:color w:val="auto"/>
                <w:sz w:val="21"/>
                <w:szCs w:val="21"/>
              </w:rPr>
              <w:t>序号</w:t>
            </w:r>
          </w:p>
        </w:tc>
        <w:tc>
          <w:tcPr>
            <w:tcW w:w="155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r>
              <w:rPr>
                <w:rFonts w:hint="eastAsia" w:hAnsi="宋体"/>
                <w:color w:val="auto"/>
                <w:sz w:val="21"/>
                <w:szCs w:val="21"/>
              </w:rPr>
              <w:t>名称</w:t>
            </w:r>
          </w:p>
        </w:tc>
        <w:tc>
          <w:tcPr>
            <w:tcW w:w="172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r>
              <w:rPr>
                <w:rFonts w:hint="eastAsia" w:hAnsi="宋体"/>
                <w:color w:val="auto"/>
                <w:sz w:val="21"/>
                <w:szCs w:val="21"/>
              </w:rPr>
              <w:t>型号规格</w:t>
            </w:r>
          </w:p>
        </w:tc>
        <w:tc>
          <w:tcPr>
            <w:tcW w:w="105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r>
              <w:rPr>
                <w:rFonts w:hint="eastAsia" w:hAnsi="宋体"/>
                <w:color w:val="auto"/>
                <w:sz w:val="21"/>
                <w:szCs w:val="21"/>
              </w:rPr>
              <w:t>制造商</w:t>
            </w: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r>
              <w:rPr>
                <w:rFonts w:hint="eastAsia" w:hAnsi="宋体"/>
                <w:color w:val="auto"/>
                <w:sz w:val="21"/>
                <w:szCs w:val="21"/>
              </w:rPr>
              <w:t>单位</w:t>
            </w: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eastAsiaTheme="minorEastAsia"/>
                <w:color w:val="auto"/>
                <w:sz w:val="21"/>
                <w:szCs w:val="21"/>
                <w:lang w:eastAsia="zh-CN"/>
              </w:rPr>
            </w:pPr>
            <w:r>
              <w:rPr>
                <w:rFonts w:hint="eastAsia" w:hAnsi="宋体"/>
                <w:color w:val="auto"/>
                <w:sz w:val="21"/>
                <w:szCs w:val="21"/>
                <w:lang w:eastAsia="zh-CN"/>
              </w:rPr>
              <w:t>单价</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r>
              <w:rPr>
                <w:rFonts w:hint="eastAsia" w:hAnsi="宋体"/>
                <w:color w:val="auto"/>
                <w:sz w:val="21"/>
                <w:szCs w:val="21"/>
              </w:rPr>
              <w:t>备注</w:t>
            </w:r>
          </w:p>
        </w:tc>
      </w:tr>
      <w:tr>
        <w:tblPrEx>
          <w:tblLayout w:type="fixed"/>
          <w:tblCellMar>
            <w:top w:w="0" w:type="dxa"/>
            <w:left w:w="30" w:type="dxa"/>
            <w:bottom w:w="0" w:type="dxa"/>
            <w:right w:w="30" w:type="dxa"/>
          </w:tblCellMar>
        </w:tblPrEx>
        <w:trPr>
          <w:trHeight w:val="292" w:hRule="atLeast"/>
          <w:jc w:val="center"/>
        </w:trPr>
        <w:tc>
          <w:tcPr>
            <w:tcW w:w="63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eastAsiaTheme="minorEastAsia"/>
                <w:color w:val="auto"/>
                <w:sz w:val="21"/>
                <w:szCs w:val="21"/>
                <w:lang w:val="en-US" w:eastAsia="zh-CN"/>
              </w:rPr>
            </w:pPr>
            <w:r>
              <w:rPr>
                <w:rFonts w:hint="eastAsia" w:hAnsi="宋体"/>
                <w:color w:val="auto"/>
                <w:sz w:val="21"/>
                <w:szCs w:val="21"/>
                <w:lang w:val="en-US" w:eastAsia="zh-CN"/>
              </w:rPr>
              <w:t>1</w:t>
            </w:r>
          </w:p>
        </w:tc>
        <w:tc>
          <w:tcPr>
            <w:tcW w:w="155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72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050" w:type="dxa"/>
            <w:tcBorders>
              <w:top w:val="single" w:color="auto" w:sz="6" w:space="0"/>
              <w:left w:val="single" w:color="auto" w:sz="6" w:space="0"/>
              <w:bottom w:val="single" w:color="auto" w:sz="6" w:space="0"/>
              <w:right w:val="single" w:color="auto" w:sz="6" w:space="0"/>
            </w:tcBorders>
            <w:noWrap w:val="0"/>
            <w:vAlign w:val="top"/>
          </w:tcPr>
          <w:p>
            <w:pPr>
              <w:kinsoku/>
              <w:overflowPunct/>
              <w:topLinePunct w:val="0"/>
              <w:bidi w:val="0"/>
              <w:spacing w:line="360" w:lineRule="auto"/>
              <w:jc w:val="center"/>
              <w:outlineLvl w:val="9"/>
              <w:rPr>
                <w:rFonts w:hint="eastAsia" w:hAnsi="宋体"/>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458"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r>
      <w:tr>
        <w:tblPrEx>
          <w:tblLayout w:type="fixed"/>
          <w:tblCellMar>
            <w:top w:w="0" w:type="dxa"/>
            <w:left w:w="30" w:type="dxa"/>
            <w:bottom w:w="0" w:type="dxa"/>
            <w:right w:w="30" w:type="dxa"/>
          </w:tblCellMar>
        </w:tblPrEx>
        <w:trPr>
          <w:trHeight w:val="292" w:hRule="atLeast"/>
          <w:jc w:val="center"/>
        </w:trPr>
        <w:tc>
          <w:tcPr>
            <w:tcW w:w="63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eastAsiaTheme="minorEastAsia"/>
                <w:color w:val="auto"/>
                <w:sz w:val="21"/>
                <w:szCs w:val="21"/>
                <w:lang w:val="en-US" w:eastAsia="zh-CN"/>
              </w:rPr>
            </w:pPr>
            <w:r>
              <w:rPr>
                <w:rFonts w:hint="eastAsia" w:hAnsi="宋体"/>
                <w:color w:val="auto"/>
                <w:sz w:val="21"/>
                <w:szCs w:val="21"/>
                <w:lang w:val="en-US" w:eastAsia="zh-CN"/>
              </w:rPr>
              <w:t>2</w:t>
            </w:r>
          </w:p>
        </w:tc>
        <w:tc>
          <w:tcPr>
            <w:tcW w:w="155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72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050" w:type="dxa"/>
            <w:tcBorders>
              <w:top w:val="single" w:color="auto" w:sz="6" w:space="0"/>
              <w:left w:val="single" w:color="auto" w:sz="6" w:space="0"/>
              <w:bottom w:val="single" w:color="auto" w:sz="6" w:space="0"/>
              <w:right w:val="single" w:color="auto" w:sz="6" w:space="0"/>
            </w:tcBorders>
            <w:noWrap w:val="0"/>
            <w:vAlign w:val="top"/>
          </w:tcPr>
          <w:p>
            <w:pPr>
              <w:kinsoku/>
              <w:overflowPunct/>
              <w:topLinePunct w:val="0"/>
              <w:bidi w:val="0"/>
              <w:spacing w:line="360" w:lineRule="auto"/>
              <w:jc w:val="center"/>
              <w:outlineLvl w:val="9"/>
              <w:rPr>
                <w:rFonts w:hint="eastAsia" w:hAnsi="宋体"/>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458"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r>
      <w:tr>
        <w:tblPrEx>
          <w:tblLayout w:type="fixed"/>
          <w:tblCellMar>
            <w:top w:w="0" w:type="dxa"/>
            <w:left w:w="30" w:type="dxa"/>
            <w:bottom w:w="0" w:type="dxa"/>
            <w:right w:w="30" w:type="dxa"/>
          </w:tblCellMar>
        </w:tblPrEx>
        <w:trPr>
          <w:trHeight w:val="292" w:hRule="atLeast"/>
          <w:jc w:val="center"/>
        </w:trPr>
        <w:tc>
          <w:tcPr>
            <w:tcW w:w="63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eastAsiaTheme="minorEastAsia"/>
                <w:color w:val="auto"/>
                <w:sz w:val="21"/>
                <w:szCs w:val="21"/>
                <w:lang w:val="en-US" w:eastAsia="zh-CN"/>
              </w:rPr>
            </w:pPr>
            <w:r>
              <w:rPr>
                <w:rFonts w:hint="eastAsia" w:hAnsi="宋体"/>
                <w:color w:val="auto"/>
                <w:sz w:val="21"/>
                <w:szCs w:val="21"/>
                <w:lang w:val="en-US" w:eastAsia="zh-CN"/>
              </w:rPr>
              <w:t>3</w:t>
            </w:r>
          </w:p>
        </w:tc>
        <w:tc>
          <w:tcPr>
            <w:tcW w:w="155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72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050" w:type="dxa"/>
            <w:tcBorders>
              <w:top w:val="single" w:color="auto" w:sz="6" w:space="0"/>
              <w:left w:val="single" w:color="auto" w:sz="6" w:space="0"/>
              <w:bottom w:val="single" w:color="auto" w:sz="6" w:space="0"/>
              <w:right w:val="single" w:color="auto" w:sz="6" w:space="0"/>
            </w:tcBorders>
            <w:noWrap w:val="0"/>
            <w:vAlign w:val="top"/>
          </w:tcPr>
          <w:p>
            <w:pPr>
              <w:kinsoku/>
              <w:overflowPunct/>
              <w:topLinePunct w:val="0"/>
              <w:bidi w:val="0"/>
              <w:spacing w:line="360" w:lineRule="auto"/>
              <w:jc w:val="center"/>
              <w:outlineLvl w:val="9"/>
              <w:rPr>
                <w:rFonts w:hint="eastAsia" w:hAnsi="宋体"/>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458"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r>
      <w:tr>
        <w:tblPrEx>
          <w:tblLayout w:type="fixed"/>
          <w:tblCellMar>
            <w:top w:w="0" w:type="dxa"/>
            <w:left w:w="30" w:type="dxa"/>
            <w:bottom w:w="0" w:type="dxa"/>
            <w:right w:w="30" w:type="dxa"/>
          </w:tblCellMar>
        </w:tblPrEx>
        <w:trPr>
          <w:trHeight w:val="292" w:hRule="atLeast"/>
          <w:jc w:val="center"/>
        </w:trPr>
        <w:tc>
          <w:tcPr>
            <w:tcW w:w="63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r>
              <w:rPr>
                <w:rFonts w:hint="default" w:ascii="Arial" w:hAnsi="Arial" w:cs="Arial"/>
                <w:color w:val="auto"/>
                <w:sz w:val="21"/>
                <w:szCs w:val="21"/>
              </w:rPr>
              <w:t>…</w:t>
            </w:r>
          </w:p>
        </w:tc>
        <w:tc>
          <w:tcPr>
            <w:tcW w:w="1550"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color w:val="auto"/>
                <w:sz w:val="21"/>
                <w:szCs w:val="21"/>
              </w:rPr>
            </w:pPr>
          </w:p>
        </w:tc>
        <w:tc>
          <w:tcPr>
            <w:tcW w:w="172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b/>
                <w:color w:val="auto"/>
                <w:sz w:val="21"/>
                <w:szCs w:val="21"/>
              </w:rPr>
            </w:pPr>
          </w:p>
        </w:tc>
        <w:tc>
          <w:tcPr>
            <w:tcW w:w="1050" w:type="dxa"/>
            <w:tcBorders>
              <w:top w:val="single" w:color="auto" w:sz="6" w:space="0"/>
              <w:left w:val="single" w:color="auto" w:sz="6" w:space="0"/>
              <w:bottom w:val="single" w:color="auto" w:sz="6" w:space="0"/>
              <w:right w:val="single" w:color="auto" w:sz="6" w:space="0"/>
            </w:tcBorders>
            <w:noWrap w:val="0"/>
            <w:vAlign w:val="top"/>
          </w:tcPr>
          <w:p>
            <w:pPr>
              <w:kinsoku/>
              <w:overflowPunct/>
              <w:topLinePunct w:val="0"/>
              <w:bidi w:val="0"/>
              <w:spacing w:line="360" w:lineRule="auto"/>
              <w:jc w:val="center"/>
              <w:outlineLvl w:val="9"/>
              <w:rPr>
                <w:rFonts w:hint="eastAsia" w:hAnsi="宋体"/>
                <w:b/>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b/>
                <w:color w:val="auto"/>
                <w:sz w:val="21"/>
                <w:szCs w:val="21"/>
              </w:rPr>
            </w:pPr>
          </w:p>
        </w:tc>
        <w:tc>
          <w:tcPr>
            <w:tcW w:w="1035" w:type="dxa"/>
            <w:tcBorders>
              <w:top w:val="single" w:color="auto" w:sz="6" w:space="0"/>
              <w:left w:val="single" w:color="auto" w:sz="6" w:space="0"/>
              <w:bottom w:val="single" w:color="auto" w:sz="6" w:space="0"/>
              <w:right w:val="single" w:color="auto" w:sz="6" w:space="0"/>
            </w:tcBorders>
            <w:noWrap w:val="0"/>
            <w:vAlign w:val="center"/>
          </w:tcPr>
          <w:p>
            <w:pPr>
              <w:kinsoku/>
              <w:overflowPunct/>
              <w:topLinePunct w:val="0"/>
              <w:bidi w:val="0"/>
              <w:spacing w:line="360" w:lineRule="auto"/>
              <w:jc w:val="center"/>
              <w:outlineLvl w:val="9"/>
              <w:rPr>
                <w:rFonts w:hint="eastAsia" w:hAnsi="宋体"/>
                <w:b/>
                <w:color w:val="auto"/>
                <w:sz w:val="21"/>
                <w:szCs w:val="21"/>
              </w:rPr>
            </w:pPr>
          </w:p>
        </w:tc>
        <w:tc>
          <w:tcPr>
            <w:tcW w:w="1458" w:type="dxa"/>
            <w:tcBorders>
              <w:top w:val="single" w:color="auto" w:sz="6" w:space="0"/>
              <w:left w:val="single" w:color="auto" w:sz="6" w:space="0"/>
              <w:bottom w:val="single" w:color="auto" w:sz="6" w:space="0"/>
              <w:right w:val="single" w:color="auto" w:sz="6" w:space="0"/>
            </w:tcBorders>
            <w:noWrap w:val="0"/>
            <w:vAlign w:val="top"/>
          </w:tcPr>
          <w:p>
            <w:pPr>
              <w:kinsoku/>
              <w:overflowPunct/>
              <w:topLinePunct w:val="0"/>
              <w:bidi w:val="0"/>
              <w:spacing w:line="360" w:lineRule="auto"/>
              <w:jc w:val="center"/>
              <w:outlineLvl w:val="9"/>
              <w:rPr>
                <w:rFonts w:hint="eastAsia" w:hAnsi="宋体"/>
                <w:b/>
                <w:color w:val="auto"/>
                <w:sz w:val="21"/>
                <w:szCs w:val="21"/>
              </w:rPr>
            </w:pPr>
          </w:p>
        </w:tc>
      </w:tr>
    </w:tbl>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eastAsia="zh-CN"/>
        </w:rPr>
      </w:pPr>
      <w:r>
        <w:rPr>
          <w:rFonts w:hint="eastAsia" w:asciiTheme="minorEastAsia" w:hAnsiTheme="minorEastAsia" w:eastAsiaTheme="minorEastAsia" w:cstheme="minorEastAsia"/>
          <w:color w:val="auto"/>
          <w:kern w:val="28"/>
          <w:sz w:val="24"/>
          <w:szCs w:val="24"/>
          <w:lang w:val="en-US" w:eastAsia="zh-CN"/>
        </w:rPr>
        <w:t>说明：</w:t>
      </w:r>
      <w:r>
        <w:rPr>
          <w:rFonts w:hint="eastAsia" w:asciiTheme="minorEastAsia" w:hAnsiTheme="minorEastAsia" w:cstheme="minorEastAsia"/>
          <w:color w:val="auto"/>
          <w:kern w:val="28"/>
          <w:sz w:val="24"/>
          <w:szCs w:val="24"/>
          <w:lang w:val="en-US" w:eastAsia="zh-CN"/>
        </w:rPr>
        <w:t>货物单价</w:t>
      </w:r>
      <w:r>
        <w:rPr>
          <w:rFonts w:hint="eastAsia" w:asciiTheme="minorEastAsia" w:hAnsiTheme="minorEastAsia" w:eastAsiaTheme="minorEastAsia" w:cstheme="minorEastAsia"/>
          <w:color w:val="auto"/>
          <w:kern w:val="28"/>
          <w:sz w:val="24"/>
          <w:szCs w:val="24"/>
          <w:lang w:val="en-US" w:eastAsia="zh-CN"/>
        </w:rPr>
        <w:t>包括</w:t>
      </w:r>
      <w:r>
        <w:rPr>
          <w:rFonts w:hint="eastAsia" w:asciiTheme="minorEastAsia" w:hAnsiTheme="minorEastAsia" w:cstheme="minorEastAsia"/>
          <w:color w:val="auto"/>
          <w:kern w:val="28"/>
          <w:sz w:val="24"/>
          <w:szCs w:val="24"/>
          <w:lang w:val="en-US" w:eastAsia="zh-CN"/>
        </w:rPr>
        <w:t>但不限于货物费用、运输费</w:t>
      </w:r>
      <w:r>
        <w:rPr>
          <w:rFonts w:hint="eastAsia" w:asciiTheme="minorEastAsia" w:hAnsiTheme="minorEastAsia" w:eastAsiaTheme="minorEastAsia" w:cstheme="minorEastAsia"/>
          <w:color w:val="auto"/>
          <w:kern w:val="28"/>
          <w:sz w:val="24"/>
          <w:szCs w:val="24"/>
          <w:lang w:val="en-US" w:eastAsia="zh-CN"/>
        </w:rPr>
        <w:t>、</w:t>
      </w:r>
      <w:r>
        <w:rPr>
          <w:rFonts w:hint="eastAsia" w:asciiTheme="minorEastAsia" w:hAnsiTheme="minorEastAsia" w:cstheme="minorEastAsia"/>
          <w:color w:val="auto"/>
          <w:kern w:val="28"/>
          <w:sz w:val="24"/>
          <w:szCs w:val="24"/>
          <w:lang w:val="en-US" w:eastAsia="zh-CN"/>
        </w:rPr>
        <w:t>人员经费、保险费、</w:t>
      </w:r>
      <w:r>
        <w:rPr>
          <w:rFonts w:hint="eastAsia" w:asciiTheme="minorEastAsia" w:hAnsiTheme="minorEastAsia" w:eastAsiaTheme="minorEastAsia" w:cstheme="minorEastAsia"/>
          <w:color w:val="auto"/>
          <w:kern w:val="28"/>
          <w:sz w:val="24"/>
          <w:szCs w:val="24"/>
          <w:lang w:val="en-US" w:eastAsia="zh-CN"/>
        </w:rPr>
        <w:t>各项税费及</w:t>
      </w:r>
      <w:r>
        <w:rPr>
          <w:rFonts w:hint="eastAsia" w:ascii="宋体" w:hAnsi="宋体" w:eastAsia="宋体" w:cs="宋体"/>
          <w:color w:val="auto"/>
          <w:kern w:val="28"/>
          <w:sz w:val="24"/>
          <w:szCs w:val="24"/>
          <w:lang w:val="en-US" w:eastAsia="zh-CN"/>
        </w:rPr>
        <w:t>合同实施过程中不可预见费用等项目相关的一切费用。</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二、服务期</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rPr>
      </w:pPr>
      <w:r>
        <w:rPr>
          <w:rFonts w:hint="eastAsia" w:ascii="宋体" w:hAnsi="宋体" w:eastAsia="宋体" w:cs="宋体"/>
          <w:color w:val="auto"/>
          <w:kern w:val="28"/>
          <w:sz w:val="24"/>
          <w:szCs w:val="24"/>
          <w:lang w:val="en-US" w:eastAsia="zh-CN"/>
        </w:rPr>
        <w:t>服务期：自合同签订生效之日起三十六个月。</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三、交货时间、交货地点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1.交货时间：乙方接到甲方通知后，次日正常上班时间内（上午8：30-下午4：00）完成送货。</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2.交货地点：佛山市南海区里水镇里官路得胜段28号南方医科大学第七附属医院洗衣房内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3.交接方式：双方设置登记本，清楚记录送货数量，回收桶数量，尚欠桶数量等，作为结算统计依据，检测合格报告随货同行。</w:t>
      </w:r>
    </w:p>
    <w:p>
      <w:pPr>
        <w:keepNext w:val="0"/>
        <w:keepLines w:val="0"/>
        <w:pageBreakBefore w:val="0"/>
        <w:widowControl w:val="0"/>
        <w:numPr>
          <w:ilvl w:val="0"/>
          <w:numId w:val="0"/>
        </w:numPr>
        <w:kinsoku/>
        <w:wordWrap/>
        <w:overflowPunct/>
        <w:topLinePunct w:val="0"/>
        <w:bidi w:val="0"/>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
        </w:rPr>
        <w:t>4.货物运送至甲方指定交货地点前或不按本条约定时间运送货物致使甲方未能及时收取货物的，在甲方收取货物前的毁损、灭失风险均由乙方承担。</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四、服务需求</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eastAsia="zh-CN"/>
        </w:rPr>
      </w:pPr>
      <w:r>
        <w:rPr>
          <w:rFonts w:hint="eastAsia" w:ascii="宋体" w:hAnsi="宋体" w:eastAsia="宋体" w:cs="宋体"/>
          <w:color w:val="auto"/>
          <w:kern w:val="28"/>
          <w:sz w:val="24"/>
          <w:szCs w:val="24"/>
          <w:lang w:val="en-US" w:eastAsia="zh-CN"/>
        </w:rPr>
        <w:t>1.乙方所供产品必须符合中华人民共和国国家标准及行业标准，质量标准必须按国家现行规范执行；</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eastAsia="zh-CN"/>
        </w:rPr>
      </w:pPr>
      <w:r>
        <w:rPr>
          <w:rFonts w:hint="eastAsia" w:ascii="宋体" w:hAnsi="宋体" w:eastAsia="宋体" w:cs="宋体"/>
          <w:color w:val="auto"/>
          <w:kern w:val="28"/>
          <w:sz w:val="24"/>
          <w:szCs w:val="24"/>
          <w:lang w:val="en-US" w:eastAsia="zh-CN"/>
        </w:rPr>
        <w:t>2.洗涤效果要达到院感管理制度要求，有消毒功效，防止医源性感染，能够有效去除各种污渍，不留痕迹。不添加荧光增白剂，不含致敏成分，无刺鼻气味；</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eastAsia="zh-CN"/>
        </w:rPr>
      </w:pPr>
      <w:r>
        <w:rPr>
          <w:rFonts w:hint="eastAsia" w:ascii="宋体" w:hAnsi="宋体" w:eastAsia="宋体" w:cs="宋体"/>
          <w:color w:val="auto"/>
          <w:kern w:val="28"/>
          <w:sz w:val="24"/>
          <w:szCs w:val="24"/>
          <w:lang w:val="en-US" w:eastAsia="zh-CN"/>
        </w:rPr>
        <w:t>3.乙方提供所需消毒洗涤用品的供应、运输、售后和培训等相关服务。提供原装且符合用户质量需求的货物，保证完好、无破损、配置与送货单相符；</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eastAsia="zh-CN"/>
        </w:rPr>
      </w:pPr>
      <w:r>
        <w:rPr>
          <w:rFonts w:hint="eastAsia" w:ascii="宋体" w:hAnsi="宋体" w:eastAsia="宋体" w:cs="宋体"/>
          <w:color w:val="auto"/>
          <w:kern w:val="28"/>
          <w:sz w:val="24"/>
          <w:szCs w:val="24"/>
          <w:lang w:val="en-US" w:eastAsia="zh-CN"/>
        </w:rPr>
        <w:t>4.乙方免费提供特殊污渍洗涤项目，并保证三个工作日内完成洗涤和收送服务；</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eastAsia="zh-CN"/>
        </w:rPr>
      </w:pPr>
      <w:r>
        <w:rPr>
          <w:rFonts w:hint="eastAsia" w:ascii="宋体" w:hAnsi="宋体" w:eastAsia="宋体" w:cs="宋体"/>
          <w:color w:val="auto"/>
          <w:kern w:val="28"/>
          <w:sz w:val="24"/>
          <w:szCs w:val="24"/>
          <w:lang w:val="en-US" w:eastAsia="zh-CN"/>
        </w:rPr>
        <w:t>5.乙方每季度一次将医院织物送至有资质的检测机构进行微生物检测，费用由乙方负责；</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kern w:val="28"/>
          <w:sz w:val="24"/>
          <w:szCs w:val="24"/>
          <w:lang w:val="en-US" w:eastAsia="zh-CN"/>
        </w:rPr>
      </w:pPr>
      <w:r>
        <w:rPr>
          <w:rFonts w:hint="eastAsia" w:ascii="宋体" w:hAnsi="宋体" w:eastAsia="宋体" w:cs="宋体"/>
          <w:color w:val="auto"/>
          <w:kern w:val="28"/>
          <w:sz w:val="24"/>
          <w:szCs w:val="24"/>
          <w:lang w:val="en-US" w:eastAsia="zh-CN"/>
        </w:rPr>
        <w:t>6.乙方向甲方提供两台或以上洗涤剂分配器，可匹配采购的洗涤剂使用，并做好安装、维护和售后服务。</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五、包装标准、包装物的供应与回收</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1.货物所需包装由乙方负责，适合运输、防潮、防湿、防震、防腐蚀等要求，因包装不当，给甲方或其他第三方造成的损失与责任均为乙方承担。</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2.乙方提供本合同货物的包装物。包装物可由乙方收回，乙方不得向甲方收取包装物的任何费用，包括租赁费用、押金等。</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六、验收</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1.验收内容包括货物的质量、规格、数量、重量、外包装是否完好等。</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甲方在货物使用过程中出现质量问题后立即以电话联系方式通知乙方，并在3个工作日内以书面形式向乙方提出异议；双方对怀疑质量存在问题的货物样品送有资质检测机构进行检测，检测结果为货物质量问题，检测费用与造成甲方损失的一切费用由乙方承担。</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七、结算方式</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1.月度结算：按实际入库合格数量计算。乙方在送货次月5号前提供相关资料申请付款，甲方审核无误后【30】天内通过银行转账方式向乙方支付。</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2.申请付款资料：</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2.1有效等额发票</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2.2合同（首次）</w:t>
      </w:r>
    </w:p>
    <w:p>
      <w:pPr>
        <w:keepNext w:val="0"/>
        <w:keepLines w:val="0"/>
        <w:pageBreakBefore w:val="0"/>
        <w:widowControl w:val="0"/>
        <w:numPr>
          <w:ilvl w:val="0"/>
          <w:numId w:val="0"/>
        </w:numPr>
        <w:kinsoku/>
        <w:wordWrap/>
        <w:overflowPunct/>
        <w:topLinePunct w:val="0"/>
        <w:bidi w:val="0"/>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2.3送货单</w:t>
      </w:r>
    </w:p>
    <w:p>
      <w:pPr>
        <w:keepNext w:val="0"/>
        <w:keepLines w:val="0"/>
        <w:pageBreakBefore w:val="0"/>
        <w:numPr>
          <w:ilvl w:val="0"/>
          <w:numId w:val="0"/>
        </w:numPr>
        <w:kinsoku/>
        <w:wordWrap/>
        <w:overflowPunct/>
        <w:topLinePunct w:val="0"/>
        <w:bidi w:val="0"/>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2.4中标通知书（首次）</w:t>
      </w:r>
    </w:p>
    <w:p>
      <w:pPr>
        <w:keepNext w:val="0"/>
        <w:keepLines w:val="0"/>
        <w:pageBreakBefore w:val="0"/>
        <w:numPr>
          <w:ilvl w:val="0"/>
          <w:numId w:val="0"/>
        </w:numPr>
        <w:kinsoku/>
        <w:wordWrap/>
        <w:overflowPunct/>
        <w:topLinePunct w:val="0"/>
        <w:bidi w:val="0"/>
        <w:snapToGrid/>
        <w:spacing w:line="460" w:lineRule="exact"/>
        <w:ind w:firstLine="480" w:firstLineChars="200"/>
        <w:textAlignment w:val="auto"/>
        <w:outlineLvl w:val="9"/>
        <w:rPr>
          <w:rFonts w:hint="eastAsia" w:ascii="宋体" w:hAnsi="宋体" w:eastAsia="宋体" w:cs="宋体"/>
          <w:color w:val="auto"/>
          <w:lang w:val="en-US" w:eastAsia="zh-CN"/>
        </w:rPr>
      </w:pPr>
      <w:r>
        <w:rPr>
          <w:rFonts w:hint="eastAsia" w:ascii="宋体" w:hAnsi="宋体" w:eastAsia="宋体" w:cs="宋体"/>
          <w:color w:val="auto"/>
          <w:sz w:val="24"/>
          <w:szCs w:val="24"/>
          <w:lang w:val="en-US" w:eastAsia="zh-CN"/>
        </w:rPr>
        <w:t>2.5检测合格报告书</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八、违约责任</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hAnsi="宋体" w:cs="宋体"/>
          <w:strike w:val="0"/>
          <w:dstrike w:val="0"/>
          <w:color w:val="auto"/>
          <w:sz w:val="24"/>
          <w:szCs w:val="24"/>
          <w:highlight w:val="none"/>
          <w:lang w:val="en-US" w:eastAsia="zh-CN"/>
        </w:rPr>
        <w:t>乙方</w:t>
      </w:r>
      <w:r>
        <w:rPr>
          <w:rFonts w:hint="eastAsia" w:ascii="宋体" w:hAnsi="宋体" w:eastAsia="宋体" w:cs="宋体"/>
          <w:strike w:val="0"/>
          <w:dstrike w:val="0"/>
          <w:color w:val="auto"/>
          <w:sz w:val="24"/>
          <w:szCs w:val="24"/>
          <w:highlight w:val="none"/>
          <w:lang w:val="en-US" w:eastAsia="zh-CN"/>
        </w:rPr>
        <w:t>未能按照合同约定时间交货到指定地点的，</w:t>
      </w:r>
      <w:r>
        <w:rPr>
          <w:rFonts w:hint="eastAsia" w:hAnsi="宋体" w:cs="宋体"/>
          <w:strike w:val="0"/>
          <w:dstrike w:val="0"/>
          <w:color w:val="auto"/>
          <w:sz w:val="24"/>
          <w:szCs w:val="24"/>
          <w:highlight w:val="none"/>
          <w:lang w:val="en-US" w:eastAsia="zh-CN"/>
        </w:rPr>
        <w:t>乙方</w:t>
      </w:r>
      <w:r>
        <w:rPr>
          <w:rFonts w:hint="eastAsia" w:ascii="宋体" w:hAnsi="宋体" w:eastAsia="宋体" w:cs="宋体"/>
          <w:strike w:val="0"/>
          <w:dstrike w:val="0"/>
          <w:color w:val="auto"/>
          <w:sz w:val="24"/>
          <w:szCs w:val="24"/>
          <w:highlight w:val="none"/>
          <w:lang w:val="en-US" w:eastAsia="zh-CN"/>
        </w:rPr>
        <w:t>向</w:t>
      </w:r>
      <w:r>
        <w:rPr>
          <w:rFonts w:hint="eastAsia" w:hAnsi="宋体" w:cs="宋体"/>
          <w:strike w:val="0"/>
          <w:dstrike w:val="0"/>
          <w:color w:val="auto"/>
          <w:sz w:val="24"/>
          <w:szCs w:val="24"/>
          <w:highlight w:val="none"/>
          <w:lang w:val="en-US" w:eastAsia="zh-CN"/>
        </w:rPr>
        <w:t>甲方</w:t>
      </w:r>
      <w:r>
        <w:rPr>
          <w:rFonts w:hint="eastAsia" w:ascii="宋体" w:hAnsi="宋体" w:eastAsia="宋体" w:cs="宋体"/>
          <w:strike w:val="0"/>
          <w:dstrike w:val="0"/>
          <w:color w:val="auto"/>
          <w:sz w:val="24"/>
          <w:szCs w:val="24"/>
          <w:highlight w:val="none"/>
          <w:lang w:val="en-US" w:eastAsia="zh-CN"/>
        </w:rPr>
        <w:t>赔偿人民币【</w:t>
      </w:r>
      <w:r>
        <w:rPr>
          <w:rFonts w:hint="eastAsia"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lang w:val="en-US" w:eastAsia="zh-CN"/>
        </w:rPr>
        <w:t>累计</w:t>
      </w:r>
      <w:r>
        <w:rPr>
          <w:rFonts w:hint="eastAsia" w:hAnsi="宋体" w:cs="宋体"/>
          <w:strike w:val="0"/>
          <w:dstrike w:val="0"/>
          <w:color w:val="auto"/>
          <w:sz w:val="24"/>
          <w:szCs w:val="24"/>
          <w:highlight w:val="none"/>
          <w:lang w:val="en-US" w:eastAsia="zh-CN"/>
        </w:rPr>
        <w:t>违约</w:t>
      </w:r>
      <w:r>
        <w:rPr>
          <w:rFonts w:hint="eastAsia" w:ascii="宋体" w:hAnsi="宋体" w:eastAsia="宋体" w:cs="宋体"/>
          <w:strike w:val="0"/>
          <w:dstrike w:val="0"/>
          <w:color w:val="auto"/>
          <w:sz w:val="24"/>
          <w:szCs w:val="24"/>
          <w:highlight w:val="none"/>
          <w:lang w:val="en-US" w:eastAsia="zh-CN"/>
        </w:rPr>
        <w:t>3次</w:t>
      </w:r>
      <w:r>
        <w:rPr>
          <w:rFonts w:hint="eastAsia" w:hAnsi="宋体" w:cs="宋体"/>
          <w:strike w:val="0"/>
          <w:dstrike w:val="0"/>
          <w:color w:val="auto"/>
          <w:sz w:val="24"/>
          <w:szCs w:val="24"/>
          <w:highlight w:val="none"/>
          <w:lang w:val="en-US" w:eastAsia="zh-CN"/>
        </w:rPr>
        <w:t>乙方</w:t>
      </w:r>
      <w:r>
        <w:rPr>
          <w:rFonts w:hint="eastAsia" w:ascii="宋体" w:hAnsi="宋体" w:eastAsia="宋体" w:cs="宋体"/>
          <w:strike w:val="0"/>
          <w:dstrike w:val="0"/>
          <w:color w:val="auto"/>
          <w:sz w:val="24"/>
          <w:szCs w:val="24"/>
          <w:highlight w:val="none"/>
          <w:lang w:val="en-US" w:eastAsia="zh-CN"/>
        </w:rPr>
        <w:t>向</w:t>
      </w:r>
      <w:r>
        <w:rPr>
          <w:rFonts w:hint="eastAsia" w:hAnsi="宋体" w:cs="宋体"/>
          <w:strike w:val="0"/>
          <w:dstrike w:val="0"/>
          <w:color w:val="auto"/>
          <w:sz w:val="24"/>
          <w:szCs w:val="24"/>
          <w:highlight w:val="none"/>
          <w:lang w:val="en-US" w:eastAsia="zh-CN"/>
        </w:rPr>
        <w:t>甲方</w:t>
      </w:r>
      <w:r>
        <w:rPr>
          <w:rFonts w:hint="eastAsia" w:ascii="宋体" w:hAnsi="宋体" w:eastAsia="宋体" w:cs="宋体"/>
          <w:strike w:val="0"/>
          <w:dstrike w:val="0"/>
          <w:color w:val="auto"/>
          <w:sz w:val="24"/>
          <w:szCs w:val="24"/>
          <w:highlight w:val="none"/>
          <w:lang w:val="en-US" w:eastAsia="zh-CN"/>
        </w:rPr>
        <w:t>赔偿人民币【</w:t>
      </w:r>
      <w:r>
        <w:rPr>
          <w:rFonts w:hint="eastAsia" w:hAnsi="宋体" w:cs="宋体"/>
          <w:strike w:val="0"/>
          <w:dstrike w:val="0"/>
          <w:color w:val="auto"/>
          <w:sz w:val="24"/>
          <w:szCs w:val="24"/>
          <w:highlight w:val="none"/>
          <w:lang w:val="en-US" w:eastAsia="zh-CN"/>
        </w:rPr>
        <w:t>5</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甲方有权单方面解除合同。</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hAnsi="宋体" w:cs="宋体"/>
          <w:strike w:val="0"/>
          <w:dstrike w:val="0"/>
          <w:color w:val="auto"/>
          <w:sz w:val="24"/>
          <w:szCs w:val="24"/>
          <w:highlight w:val="none"/>
          <w:lang w:val="en-US" w:eastAsia="zh-CN"/>
        </w:rPr>
        <w:t>乙方</w:t>
      </w:r>
      <w:r>
        <w:rPr>
          <w:rFonts w:hint="eastAsia" w:ascii="宋体" w:hAnsi="宋体" w:eastAsia="宋体" w:cs="宋体"/>
          <w:strike w:val="0"/>
          <w:dstrike w:val="0"/>
          <w:color w:val="auto"/>
          <w:kern w:val="2"/>
          <w:sz w:val="24"/>
          <w:szCs w:val="24"/>
          <w:highlight w:val="none"/>
          <w:lang w:val="en-US" w:eastAsia="zh-CN" w:bidi="ar"/>
        </w:rPr>
        <w:t>交付货物质量未达到约定的标准或无法提供出厂质量检测合格报告或经检测机构检测货物存在质量问题的</w:t>
      </w:r>
      <w:r>
        <w:rPr>
          <w:rFonts w:hint="eastAsia" w:hAnsi="宋体" w:cs="宋体"/>
          <w:strike w:val="0"/>
          <w:dstrike w:val="0"/>
          <w:color w:val="auto"/>
          <w:kern w:val="2"/>
          <w:sz w:val="24"/>
          <w:szCs w:val="24"/>
          <w:highlight w:val="none"/>
          <w:lang w:val="en-US" w:eastAsia="zh-CN" w:bidi="ar"/>
        </w:rPr>
        <w:t>，</w:t>
      </w:r>
      <w:r>
        <w:rPr>
          <w:rFonts w:hint="eastAsia" w:hAnsi="宋体" w:cs="宋体"/>
          <w:strike w:val="0"/>
          <w:dstrike w:val="0"/>
          <w:color w:val="auto"/>
          <w:sz w:val="24"/>
          <w:szCs w:val="24"/>
          <w:highlight w:val="none"/>
          <w:lang w:val="en-US" w:eastAsia="zh-CN"/>
        </w:rPr>
        <w:t>乙方</w:t>
      </w:r>
      <w:r>
        <w:rPr>
          <w:rFonts w:hint="eastAsia" w:ascii="宋体" w:hAnsi="宋体" w:eastAsia="宋体" w:cs="宋体"/>
          <w:strike w:val="0"/>
          <w:dstrike w:val="0"/>
          <w:color w:val="auto"/>
          <w:sz w:val="24"/>
          <w:szCs w:val="24"/>
          <w:highlight w:val="none"/>
          <w:lang w:val="en-US" w:eastAsia="zh-CN"/>
        </w:rPr>
        <w:t>向</w:t>
      </w:r>
      <w:r>
        <w:rPr>
          <w:rFonts w:hint="eastAsia" w:hAnsi="宋体" w:cs="宋体"/>
          <w:strike w:val="0"/>
          <w:dstrike w:val="0"/>
          <w:color w:val="auto"/>
          <w:sz w:val="24"/>
          <w:szCs w:val="24"/>
          <w:highlight w:val="none"/>
          <w:lang w:val="en-US" w:eastAsia="zh-CN"/>
        </w:rPr>
        <w:t>甲方</w:t>
      </w:r>
      <w:r>
        <w:rPr>
          <w:rFonts w:hint="eastAsia" w:ascii="宋体" w:hAnsi="宋体" w:eastAsia="宋体" w:cs="宋体"/>
          <w:strike w:val="0"/>
          <w:dstrike w:val="0"/>
          <w:color w:val="auto"/>
          <w:sz w:val="24"/>
          <w:szCs w:val="24"/>
          <w:highlight w:val="none"/>
          <w:lang w:val="en-US" w:eastAsia="zh-CN"/>
        </w:rPr>
        <w:t>赔偿人民币【</w:t>
      </w:r>
      <w:r>
        <w:rPr>
          <w:rFonts w:hint="eastAsia"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lang w:val="en-US" w:eastAsia="zh-CN"/>
        </w:rPr>
        <w:t>累计</w:t>
      </w:r>
      <w:r>
        <w:rPr>
          <w:rFonts w:hint="eastAsia" w:hAnsi="宋体" w:cs="宋体"/>
          <w:strike w:val="0"/>
          <w:dstrike w:val="0"/>
          <w:color w:val="auto"/>
          <w:sz w:val="24"/>
          <w:szCs w:val="24"/>
          <w:highlight w:val="none"/>
          <w:lang w:val="en-US" w:eastAsia="zh-CN"/>
        </w:rPr>
        <w:t>违约</w:t>
      </w:r>
      <w:r>
        <w:rPr>
          <w:rFonts w:hint="eastAsia" w:ascii="宋体" w:hAnsi="宋体" w:eastAsia="宋体" w:cs="宋体"/>
          <w:strike w:val="0"/>
          <w:dstrike w:val="0"/>
          <w:color w:val="auto"/>
          <w:sz w:val="24"/>
          <w:szCs w:val="24"/>
          <w:highlight w:val="none"/>
          <w:lang w:val="en-US" w:eastAsia="zh-CN"/>
        </w:rPr>
        <w:t>3次</w:t>
      </w:r>
      <w:r>
        <w:rPr>
          <w:rFonts w:hint="eastAsia" w:hAnsi="宋体" w:cs="宋体"/>
          <w:strike w:val="0"/>
          <w:dstrike w:val="0"/>
          <w:color w:val="auto"/>
          <w:sz w:val="24"/>
          <w:szCs w:val="24"/>
          <w:highlight w:val="none"/>
          <w:lang w:val="en-US" w:eastAsia="zh-CN"/>
        </w:rPr>
        <w:t>乙方</w:t>
      </w:r>
      <w:r>
        <w:rPr>
          <w:rFonts w:hint="eastAsia" w:ascii="宋体" w:hAnsi="宋体" w:eastAsia="宋体" w:cs="宋体"/>
          <w:strike w:val="0"/>
          <w:dstrike w:val="0"/>
          <w:color w:val="auto"/>
          <w:sz w:val="24"/>
          <w:szCs w:val="24"/>
          <w:highlight w:val="none"/>
          <w:lang w:val="en-US" w:eastAsia="zh-CN"/>
        </w:rPr>
        <w:t>向</w:t>
      </w:r>
      <w:r>
        <w:rPr>
          <w:rFonts w:hint="eastAsia" w:hAnsi="宋体" w:cs="宋体"/>
          <w:strike w:val="0"/>
          <w:dstrike w:val="0"/>
          <w:color w:val="auto"/>
          <w:sz w:val="24"/>
          <w:szCs w:val="24"/>
          <w:highlight w:val="none"/>
          <w:lang w:val="en-US" w:eastAsia="zh-CN"/>
        </w:rPr>
        <w:t>甲方</w:t>
      </w:r>
      <w:r>
        <w:rPr>
          <w:rFonts w:hint="eastAsia" w:ascii="宋体" w:hAnsi="宋体" w:eastAsia="宋体" w:cs="宋体"/>
          <w:strike w:val="0"/>
          <w:dstrike w:val="0"/>
          <w:color w:val="auto"/>
          <w:sz w:val="24"/>
          <w:szCs w:val="24"/>
          <w:highlight w:val="none"/>
          <w:lang w:val="en-US" w:eastAsia="zh-CN"/>
        </w:rPr>
        <w:t>赔偿人民币【</w:t>
      </w:r>
      <w:r>
        <w:rPr>
          <w:rFonts w:hint="eastAsia" w:hAnsi="宋体" w:cs="宋体"/>
          <w:strike w:val="0"/>
          <w:dstrike w:val="0"/>
          <w:color w:val="auto"/>
          <w:sz w:val="24"/>
          <w:szCs w:val="24"/>
          <w:highlight w:val="none"/>
          <w:lang w:val="en-US" w:eastAsia="zh-CN"/>
        </w:rPr>
        <w:t>5</w:t>
      </w:r>
      <w:r>
        <w:rPr>
          <w:rFonts w:hint="eastAsia" w:ascii="宋体" w:hAnsi="宋体" w:eastAsia="宋体" w:cs="宋体"/>
          <w:strike w:val="0"/>
          <w:dstrike w:val="0"/>
          <w:color w:val="auto"/>
          <w:sz w:val="24"/>
          <w:szCs w:val="24"/>
          <w:highlight w:val="none"/>
          <w:lang w:val="en-US" w:eastAsia="zh-CN"/>
        </w:rPr>
        <w:t>000元】违约金</w:t>
      </w:r>
      <w:r>
        <w:rPr>
          <w:rFonts w:hint="eastAsia" w:hAnsi="宋体" w:cs="宋体"/>
          <w:strike w:val="0"/>
          <w:dstrike w:val="0"/>
          <w:color w:val="auto"/>
          <w:sz w:val="24"/>
          <w:szCs w:val="24"/>
          <w:highlight w:val="none"/>
          <w:lang w:val="en-US" w:eastAsia="zh-CN"/>
        </w:rPr>
        <w:t>，甲方有权单方面解除合同。</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hAnsi="宋体" w:cs="宋体"/>
          <w:strike w:val="0"/>
          <w:dstrike w:val="0"/>
          <w:color w:val="auto"/>
          <w:sz w:val="24"/>
          <w:szCs w:val="24"/>
          <w:highlight w:val="none"/>
          <w:lang w:val="en-US" w:eastAsia="zh-CN"/>
        </w:rPr>
        <w:t>甲方</w:t>
      </w:r>
      <w:r>
        <w:rPr>
          <w:rFonts w:hint="eastAsia" w:ascii="宋体" w:hAnsi="宋体" w:eastAsia="宋体" w:cs="宋体"/>
          <w:strike w:val="0"/>
          <w:dstrike w:val="0"/>
          <w:color w:val="auto"/>
          <w:sz w:val="24"/>
          <w:szCs w:val="24"/>
          <w:highlight w:val="none"/>
          <w:lang w:val="en-US" w:eastAsia="zh-CN"/>
        </w:rPr>
        <w:t>无正当理由拒绝付款或未按合同约定时间支付结算款项的，</w:t>
      </w:r>
      <w:r>
        <w:rPr>
          <w:rFonts w:hint="eastAsia" w:hAnsi="宋体" w:cs="宋体"/>
          <w:strike w:val="0"/>
          <w:dstrike w:val="0"/>
          <w:color w:val="auto"/>
          <w:sz w:val="24"/>
          <w:szCs w:val="24"/>
          <w:highlight w:val="none"/>
          <w:lang w:val="en-US" w:eastAsia="zh-CN"/>
        </w:rPr>
        <w:t>甲方</w:t>
      </w:r>
      <w:r>
        <w:rPr>
          <w:rFonts w:hint="eastAsia" w:ascii="宋体" w:hAnsi="宋体" w:eastAsia="宋体" w:cs="宋体"/>
          <w:strike w:val="0"/>
          <w:dstrike w:val="0"/>
          <w:color w:val="auto"/>
          <w:sz w:val="24"/>
          <w:szCs w:val="24"/>
          <w:highlight w:val="none"/>
          <w:lang w:val="en-US" w:eastAsia="zh-CN"/>
        </w:rPr>
        <w:t>按应付未付结算款项的10%向</w:t>
      </w:r>
      <w:r>
        <w:rPr>
          <w:rFonts w:hint="eastAsia" w:hAnsi="宋体" w:cs="宋体"/>
          <w:strike w:val="0"/>
          <w:dstrike w:val="0"/>
          <w:color w:val="auto"/>
          <w:sz w:val="24"/>
          <w:szCs w:val="24"/>
          <w:highlight w:val="none"/>
          <w:lang w:val="en-US" w:eastAsia="zh-CN"/>
        </w:rPr>
        <w:t>乙方</w:t>
      </w:r>
      <w:r>
        <w:rPr>
          <w:rFonts w:hint="eastAsia" w:ascii="宋体" w:hAnsi="宋体" w:eastAsia="宋体" w:cs="宋体"/>
          <w:strike w:val="0"/>
          <w:dstrike w:val="0"/>
          <w:color w:val="auto"/>
          <w:sz w:val="24"/>
          <w:szCs w:val="24"/>
          <w:highlight w:val="none"/>
          <w:lang w:val="en-US" w:eastAsia="zh-CN"/>
        </w:rPr>
        <w:t>支付违约金。</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hAnsi="宋体" w:cs="宋体"/>
          <w:b/>
          <w:color w:val="auto"/>
          <w:sz w:val="24"/>
          <w:szCs w:val="24"/>
          <w:lang w:val="en-US" w:eastAsia="zh-CN"/>
        </w:rPr>
        <w:t>九</w:t>
      </w:r>
      <w:r>
        <w:rPr>
          <w:rFonts w:hint="eastAsia" w:ascii="宋体" w:hAnsi="宋体" w:eastAsia="宋体" w:cs="宋体"/>
          <w:b/>
          <w:color w:val="auto"/>
          <w:sz w:val="24"/>
          <w:szCs w:val="24"/>
          <w:lang w:val="en-US" w:eastAsia="zh-CN"/>
        </w:rPr>
        <w:t>、安全与环境保护</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甲乙双方须确保在购销、运输、存储、加工、使用等过程中，遵守质量、安全、环境与健康等法律法规的有关要求，并承担质量、安全、环境与健康责任。乙方销售、运输等过程中，应满足化学品运输管理规定。</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十、税费</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在中国境内、外发生的与本合同执行有关的一切税费均由乙方负担。</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十</w:t>
      </w:r>
      <w:r>
        <w:rPr>
          <w:rFonts w:hint="eastAsia" w:hAnsi="宋体" w:cs="宋体"/>
          <w:b/>
          <w:color w:val="auto"/>
          <w:sz w:val="24"/>
          <w:szCs w:val="24"/>
          <w:lang w:val="en-US" w:eastAsia="zh-CN"/>
        </w:rPr>
        <w:t>一</w:t>
      </w:r>
      <w:r>
        <w:rPr>
          <w:rFonts w:hint="eastAsia" w:ascii="宋体" w:hAnsi="宋体" w:eastAsia="宋体" w:cs="宋体"/>
          <w:b/>
          <w:color w:val="auto"/>
          <w:sz w:val="24"/>
          <w:szCs w:val="24"/>
          <w:lang w:val="en-US" w:eastAsia="zh-CN"/>
        </w:rPr>
        <w:t>、争议解决</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凡因本合同引起的或与本合同有关的争议，双方应友好协商解决。协商不成时，双方均同意采用以下向甲方所在地人民法院提起诉讼。</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十</w:t>
      </w:r>
      <w:r>
        <w:rPr>
          <w:rFonts w:hint="eastAsia" w:hAnsi="宋体" w:cs="宋体"/>
          <w:b/>
          <w:color w:val="auto"/>
          <w:sz w:val="24"/>
          <w:szCs w:val="24"/>
          <w:lang w:val="en-US" w:eastAsia="zh-CN"/>
        </w:rPr>
        <w:t>二</w:t>
      </w:r>
      <w:r>
        <w:rPr>
          <w:rFonts w:hint="eastAsia" w:ascii="宋体" w:hAnsi="宋体" w:eastAsia="宋体" w:cs="宋体"/>
          <w:b/>
          <w:color w:val="auto"/>
          <w:sz w:val="24"/>
          <w:szCs w:val="24"/>
          <w:lang w:val="en-US" w:eastAsia="zh-CN"/>
        </w:rPr>
        <w:t xml:space="preserve">、不可抗力 </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十</w:t>
      </w:r>
      <w:r>
        <w:rPr>
          <w:rFonts w:hint="eastAsia" w:hAnsi="宋体" w:cs="宋体"/>
          <w:b/>
          <w:color w:val="auto"/>
          <w:sz w:val="24"/>
          <w:szCs w:val="24"/>
          <w:lang w:val="en-US" w:eastAsia="zh-CN"/>
        </w:rPr>
        <w:t>三</w:t>
      </w:r>
      <w:r>
        <w:rPr>
          <w:rFonts w:hint="eastAsia" w:ascii="宋体" w:hAnsi="宋体" w:eastAsia="宋体" w:cs="宋体"/>
          <w:b/>
          <w:color w:val="auto"/>
          <w:sz w:val="24"/>
          <w:szCs w:val="24"/>
          <w:lang w:eastAsia="zh-CN"/>
        </w:rPr>
        <w:t>、其它</w:t>
      </w:r>
    </w:p>
    <w:p>
      <w:pPr>
        <w:keepNext w:val="0"/>
        <w:keepLines w:val="0"/>
        <w:pageBreakBefore w:val="0"/>
        <w:kinsoku/>
        <w:wordWrap/>
        <w:overflowPunct/>
        <w:topLinePunct w:val="0"/>
        <w:autoSpaceDE/>
        <w:autoSpaceDN/>
        <w:bidi w:val="0"/>
        <w:adjustRightInd/>
        <w:snapToGrid/>
        <w:spacing w:before="120" w:line="460" w:lineRule="exact"/>
        <w:ind w:right="-11" w:firstLine="480" w:firstLineChars="200"/>
        <w:contextualSpacing/>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如甲乙任何一方在合同有效期限内欲提前解除本合同，均应提前一个月书面通知对方，双方协商签订合同解除协议。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本合同未尽事宜，参见本项目</w:t>
      </w:r>
      <w:r>
        <w:rPr>
          <w:rFonts w:hint="eastAsia" w:hAnsi="宋体" w:cs="宋体"/>
          <w:color w:val="auto"/>
          <w:sz w:val="24"/>
          <w:szCs w:val="24"/>
          <w:lang w:eastAsia="zh-CN"/>
        </w:rPr>
        <w:t>谈判文件</w:t>
      </w:r>
      <w:r>
        <w:rPr>
          <w:rFonts w:hint="eastAsia" w:ascii="宋体" w:hAnsi="宋体" w:eastAsia="宋体" w:cs="宋体"/>
          <w:color w:val="auto"/>
          <w:sz w:val="24"/>
          <w:szCs w:val="24"/>
        </w:rPr>
        <w:t>、乙方</w:t>
      </w:r>
      <w:r>
        <w:rPr>
          <w:rFonts w:hint="eastAsia" w:ascii="宋体" w:hAnsi="宋体" w:eastAsia="宋体" w:cs="宋体"/>
          <w:color w:val="auto"/>
          <w:sz w:val="24"/>
          <w:szCs w:val="24"/>
          <w:lang w:eastAsia="zh-CN"/>
        </w:rPr>
        <w:t>综合评选应答文件</w:t>
      </w:r>
      <w:r>
        <w:rPr>
          <w:rFonts w:hint="eastAsia" w:ascii="宋体" w:hAnsi="宋体" w:eastAsia="宋体" w:cs="宋体"/>
          <w:color w:val="auto"/>
          <w:sz w:val="24"/>
          <w:szCs w:val="24"/>
        </w:rPr>
        <w:t>中所作的各项承诺，</w:t>
      </w:r>
      <w:r>
        <w:rPr>
          <w:rFonts w:hint="eastAsia" w:hAnsi="宋体" w:cs="宋体"/>
          <w:color w:val="auto"/>
          <w:sz w:val="24"/>
          <w:szCs w:val="24"/>
          <w:lang w:eastAsia="zh-CN"/>
        </w:rPr>
        <w:t>谈判文件</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综合评选应答文件</w:t>
      </w:r>
      <w:r>
        <w:rPr>
          <w:rFonts w:hint="eastAsia" w:ascii="宋体" w:hAnsi="宋体" w:eastAsia="宋体" w:cs="宋体"/>
          <w:color w:val="auto"/>
          <w:sz w:val="24"/>
          <w:szCs w:val="24"/>
        </w:rPr>
        <w:t>与本合同具有同等的法律效力。</w:t>
      </w:r>
    </w:p>
    <w:p>
      <w:pPr>
        <w:keepNext w:val="0"/>
        <w:keepLines w:val="0"/>
        <w:pageBreakBefore w:val="0"/>
        <w:tabs>
          <w:tab w:val="left" w:pos="6360"/>
        </w:tabs>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在执行本合同的过程中，所有经双方签署确认的文件（包括会议纪要、补充协议、往来信函）即成为本合同的有效组成部分。</w:t>
      </w:r>
    </w:p>
    <w:p>
      <w:pPr>
        <w:keepNext w:val="0"/>
        <w:keepLines w:val="0"/>
        <w:pageBreakBefore w:val="0"/>
        <w:tabs>
          <w:tab w:val="left" w:pos="6360"/>
        </w:tabs>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本合同和</w:t>
      </w:r>
      <w:r>
        <w:rPr>
          <w:rFonts w:hint="eastAsia" w:hAnsi="宋体" w:cs="宋体"/>
          <w:color w:val="auto"/>
          <w:sz w:val="24"/>
          <w:szCs w:val="24"/>
          <w:lang w:eastAsia="zh-CN"/>
        </w:rPr>
        <w:t>谈判文件</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综合评选应答文件</w:t>
      </w:r>
      <w:r>
        <w:rPr>
          <w:rFonts w:hint="eastAsia" w:ascii="宋体" w:hAnsi="宋体" w:eastAsia="宋体" w:cs="宋体"/>
          <w:color w:val="auto"/>
          <w:sz w:val="24"/>
          <w:szCs w:val="24"/>
        </w:rPr>
        <w:t>关于产品质量的要求相矛盾的，以其中要求较高的为准。</w:t>
      </w:r>
    </w:p>
    <w:p>
      <w:pPr>
        <w:keepNext w:val="0"/>
        <w:keepLines w:val="0"/>
        <w:pageBreakBefore w:val="0"/>
        <w:tabs>
          <w:tab w:val="left" w:pos="6360"/>
        </w:tabs>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本合同未尽事宜，由双方协商处理。另行签订《补充协议》，《补充协议》与本合同不一致或有出入的，以《补充协议》为准。</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color w:val="auto"/>
          <w:sz w:val="24"/>
          <w:szCs w:val="24"/>
          <w:lang w:val="zh-CN" w:eastAsia="zh-CN"/>
        </w:rPr>
      </w:pPr>
      <w:r>
        <w:rPr>
          <w:rFonts w:hint="eastAsia" w:ascii="宋体" w:hAnsi="宋体" w:eastAsia="宋体" w:cs="宋体"/>
          <w:b/>
          <w:color w:val="auto"/>
          <w:sz w:val="24"/>
          <w:szCs w:val="24"/>
          <w:lang w:val="zh-CN" w:eastAsia="zh-CN"/>
        </w:rPr>
        <w:t>十</w:t>
      </w:r>
      <w:r>
        <w:rPr>
          <w:rFonts w:hint="eastAsia" w:hAnsi="宋体" w:cs="宋体"/>
          <w:b/>
          <w:color w:val="auto"/>
          <w:sz w:val="24"/>
          <w:szCs w:val="24"/>
          <w:lang w:val="en-US" w:eastAsia="zh-CN"/>
        </w:rPr>
        <w:t>四</w:t>
      </w:r>
      <w:r>
        <w:rPr>
          <w:rFonts w:hint="eastAsia" w:ascii="宋体" w:hAnsi="宋体" w:eastAsia="宋体" w:cs="宋体"/>
          <w:b/>
          <w:color w:val="auto"/>
          <w:sz w:val="24"/>
          <w:szCs w:val="24"/>
          <w:lang w:val="zh-CN" w:eastAsia="zh-CN"/>
        </w:rPr>
        <w:t>、合同生效</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zh-CN"/>
        </w:rPr>
        <w:t>本合同在甲乙双方法人代表或其授权代表签字盖章后生效。</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Theme="minorEastAsia" w:hAnsiTheme="minorEastAsia" w:eastAsiaTheme="minorEastAsia" w:cstheme="minorEastAsia"/>
          <w:color w:val="auto"/>
          <w:sz w:val="24"/>
          <w:szCs w:val="24"/>
          <w:highlight w:val="none"/>
          <w:lang w:val="zh-CN"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合同一式陆份，甲方肆份，乙方贰份，均具有同等法律效力。</w:t>
      </w:r>
    </w:p>
    <w:p>
      <w:pPr>
        <w:pageBreakBefore w:val="0"/>
        <w:tabs>
          <w:tab w:val="left" w:pos="6360"/>
        </w:tabs>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Theme="minorEastAsia" w:hAnsiTheme="minorEastAsia" w:eastAsiaTheme="minorEastAsia" w:cstheme="minorEastAsia"/>
          <w:color w:val="auto"/>
          <w:sz w:val="24"/>
          <w:szCs w:val="24"/>
          <w:lang w:val="zh-CN" w:eastAsia="zh-CN"/>
        </w:rPr>
      </w:pPr>
    </w:p>
    <w:p>
      <w:pPr>
        <w:pageBreakBefore w:val="0"/>
        <w:tabs>
          <w:tab w:val="left" w:pos="6360"/>
        </w:tabs>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pStyle w:val="2"/>
        <w:rPr>
          <w:rFonts w:hint="eastAsia" w:asciiTheme="minorEastAsia" w:hAnsiTheme="minorEastAsia" w:eastAsiaTheme="minorEastAsia" w:cstheme="minorEastAsia"/>
          <w:color w:val="auto"/>
          <w:sz w:val="24"/>
          <w:szCs w:val="24"/>
          <w:lang w:val="zh-CN" w:eastAsia="zh-CN"/>
        </w:rPr>
      </w:pPr>
    </w:p>
    <w:p>
      <w:pPr>
        <w:pStyle w:val="2"/>
        <w:rPr>
          <w:rFonts w:hint="eastAsia" w:asciiTheme="minorEastAsia" w:hAnsiTheme="minorEastAsia" w:eastAsiaTheme="minorEastAsia" w:cstheme="minorEastAsia"/>
          <w:color w:val="auto"/>
          <w:sz w:val="24"/>
          <w:szCs w:val="24"/>
          <w:lang w:val="zh-CN" w:eastAsia="zh-CN"/>
        </w:rPr>
      </w:pPr>
    </w:p>
    <w:p>
      <w:pPr>
        <w:pStyle w:val="2"/>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kinsoku/>
        <w:overflowPunct/>
        <w:topLinePunct w:val="0"/>
        <w:bidi w:val="0"/>
        <w:outlineLvl w:val="9"/>
        <w:rPr>
          <w:rFonts w:hint="eastAsia" w:asciiTheme="minorEastAsia" w:hAnsiTheme="minorEastAsia" w:eastAsiaTheme="minorEastAsia" w:cstheme="minorEastAsia"/>
          <w:color w:val="auto"/>
          <w:sz w:val="24"/>
          <w:szCs w:val="24"/>
          <w:lang w:val="zh-CN" w:eastAsia="zh-CN"/>
        </w:rPr>
      </w:pPr>
    </w:p>
    <w:p>
      <w:pPr>
        <w:pStyle w:val="3"/>
        <w:rPr>
          <w:rFonts w:hint="eastAsia"/>
          <w:color w:val="auto"/>
          <w:lang w:val="zh-CN" w:eastAsia="zh-CN"/>
        </w:rPr>
      </w:pPr>
    </w:p>
    <w:p>
      <w:pPr>
        <w:kinsoku/>
        <w:overflowPunct/>
        <w:topLinePunct w:val="0"/>
        <w:bidi w:val="0"/>
        <w:jc w:val="center"/>
        <w:outlineLvl w:val="9"/>
        <w:rPr>
          <w:rFonts w:hint="eastAsia"/>
          <w:color w:val="auto"/>
          <w:lang w:val="zh-CN" w:eastAsia="zh-CN"/>
        </w:rPr>
      </w:pPr>
      <w:r>
        <w:rPr>
          <w:rFonts w:hint="eastAsia" w:asciiTheme="minorEastAsia" w:hAnsiTheme="minorEastAsia" w:eastAsiaTheme="minorEastAsia" w:cstheme="minorEastAsia"/>
          <w:color w:val="auto"/>
          <w:sz w:val="24"/>
          <w:szCs w:val="24"/>
          <w:lang w:val="zh-CN" w:eastAsia="zh-CN"/>
        </w:rPr>
        <w:t>（此页无正文）</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甲方（盖章）：</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法定代表人：</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签定日期：      年   月   日</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 xml:space="preserve">开户名称：南方医科大学第七附属医院（佛山市南海区第三人民医院）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开 户 行：工行佛山南海里水支行</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银行账号：2013023419200187301</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乙方（盖章）：</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 xml:space="preserve">法定代表人：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签定日期：   年   月   日</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开户名称：</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 xml:space="preserve">银行帐号： </w:t>
      </w:r>
    </w:p>
    <w:p>
      <w:pPr>
        <w:keepNext w:val="0"/>
        <w:keepLines w:val="0"/>
        <w:pageBreakBefore w:val="0"/>
        <w:widowControl/>
        <w:kinsoku/>
        <w:wordWrap/>
        <w:overflowPunct/>
        <w:topLinePunct w:val="0"/>
        <w:autoSpaceDE/>
        <w:autoSpaceDN/>
        <w:bidi w:val="0"/>
        <w:adjustRightInd/>
        <w:snapToGrid/>
        <w:spacing w:line="460" w:lineRule="exact"/>
        <w:ind w:firstLine="480" w:firstLineChars="200"/>
        <w:contextualSpacing/>
        <w:textAlignment w:val="auto"/>
        <w:outlineLvl w:val="9"/>
        <w:rPr>
          <w:rFonts w:hint="eastAsia" w:ascii="仿宋_GB2312" w:eastAsia="仿宋_GB2312"/>
          <w:color w:val="auto"/>
          <w:sz w:val="30"/>
          <w:szCs w:val="30"/>
          <w:highlight w:val="none"/>
        </w:rPr>
      </w:pPr>
      <w:r>
        <w:rPr>
          <w:rFonts w:hint="eastAsia" w:ascii="宋体" w:hAnsi="宋体" w:eastAsia="宋体" w:cs="Times New Roman"/>
          <w:color w:val="auto"/>
          <w:sz w:val="24"/>
          <w:szCs w:val="24"/>
          <w:highlight w:val="none"/>
          <w:lang w:val="zh-CN" w:eastAsia="zh-CN"/>
        </w:rPr>
        <w:t xml:space="preserve">开户银行： </w:t>
      </w:r>
    </w:p>
    <w:p>
      <w:pPr>
        <w:pStyle w:val="57"/>
        <w:keepNext w:val="0"/>
        <w:keepLines w:val="0"/>
        <w:pageBreakBefore w:val="0"/>
        <w:kinsoku/>
        <w:wordWrap/>
        <w:overflowPunct/>
        <w:topLinePunct w:val="0"/>
        <w:bidi w:val="0"/>
        <w:snapToGrid/>
        <w:spacing w:line="460" w:lineRule="exact"/>
        <w:textAlignment w:val="auto"/>
        <w:outlineLvl w:val="9"/>
        <w:rPr>
          <w:rFonts w:hint="eastAsia" w:ascii="仿宋_GB2312" w:eastAsia="仿宋_GB2312"/>
          <w:color w:val="auto"/>
          <w:sz w:val="30"/>
          <w:szCs w:val="30"/>
          <w:highlight w:val="none"/>
        </w:rPr>
      </w:pPr>
    </w:p>
    <w:p>
      <w:pPr>
        <w:pStyle w:val="10"/>
        <w:kinsoku/>
        <w:overflowPunct/>
        <w:topLinePunct w:val="0"/>
        <w:bidi w:val="0"/>
        <w:outlineLvl w:val="9"/>
        <w:rPr>
          <w:rFonts w:hint="eastAsia" w:ascii="仿宋_GB2312" w:eastAsia="仿宋_GB2312"/>
          <w:color w:val="auto"/>
          <w:sz w:val="30"/>
          <w:szCs w:val="30"/>
          <w:highlight w:val="none"/>
        </w:rPr>
      </w:pPr>
    </w:p>
    <w:bookmarkEnd w:id="44"/>
    <w:bookmarkEnd w:id="45"/>
    <w:p>
      <w:pPr>
        <w:keepNext/>
        <w:keepLines/>
        <w:pageBreakBefore/>
        <w:widowControl w:val="0"/>
        <w:kinsoku/>
        <w:wordWrap/>
        <w:overflowPunct/>
        <w:topLinePunct w:val="0"/>
        <w:autoSpaceDE w:val="0"/>
        <w:autoSpaceDN w:val="0"/>
        <w:bidi w:val="0"/>
        <w:adjustRightInd w:val="0"/>
        <w:snapToGrid/>
        <w:spacing w:line="460" w:lineRule="exact"/>
        <w:jc w:val="center"/>
        <w:textAlignment w:val="auto"/>
        <w:outlineLvl w:val="0"/>
        <w:rPr>
          <w:rFonts w:hAnsi="宋体"/>
          <w:b/>
          <w:bCs/>
          <w:color w:val="auto"/>
          <w:kern w:val="44"/>
          <w:sz w:val="32"/>
          <w:szCs w:val="32"/>
          <w:lang w:val="zh-CN"/>
        </w:rPr>
      </w:pPr>
      <w:bookmarkStart w:id="46" w:name="_Toc382840848"/>
      <w:bookmarkStart w:id="47" w:name="_Toc382926900"/>
      <w:bookmarkStart w:id="48" w:name="_Toc12501"/>
      <w:r>
        <w:rPr>
          <w:rFonts w:hint="eastAsia" w:hAnsi="宋体"/>
          <w:b/>
          <w:bCs/>
          <w:color w:val="auto"/>
          <w:kern w:val="44"/>
          <w:sz w:val="32"/>
          <w:szCs w:val="32"/>
          <w:lang w:val="zh-CN"/>
        </w:rPr>
        <w:br w:type="textWrapping"/>
      </w:r>
      <w:r>
        <w:rPr>
          <w:rFonts w:hint="eastAsia" w:hAnsi="宋体"/>
          <w:b/>
          <w:bCs/>
          <w:color w:val="auto"/>
          <w:kern w:val="44"/>
          <w:sz w:val="32"/>
          <w:szCs w:val="32"/>
          <w:lang w:val="zh-CN"/>
        </w:rPr>
        <w:t>第六篇　响应文件格式</w:t>
      </w:r>
      <w:bookmarkEnd w:id="46"/>
      <w:bookmarkEnd w:id="47"/>
      <w:bookmarkEnd w:id="48"/>
    </w:p>
    <w:p>
      <w:pPr>
        <w:keepNext w:val="0"/>
        <w:keepLines w:val="0"/>
        <w:pageBreakBefore w:val="0"/>
        <w:widowControl w:val="0"/>
        <w:kinsoku/>
        <w:wordWrap/>
        <w:overflowPunct/>
        <w:topLinePunct w:val="0"/>
        <w:autoSpaceDE w:val="0"/>
        <w:autoSpaceDN w:val="0"/>
        <w:bidi w:val="0"/>
        <w:adjustRightInd w:val="0"/>
        <w:snapToGrid/>
        <w:spacing w:line="460" w:lineRule="exact"/>
        <w:ind w:firstLine="482" w:firstLineChars="200"/>
        <w:jc w:val="center"/>
        <w:textAlignment w:val="auto"/>
        <w:outlineLvl w:val="9"/>
        <w:rPr>
          <w:rFonts w:hAnsi="宋体"/>
          <w:b/>
          <w:color w:val="auto"/>
          <w:sz w:val="24"/>
          <w:szCs w:val="24"/>
          <w:u w:val="single"/>
        </w:rPr>
      </w:pPr>
      <w:r>
        <w:rPr>
          <w:rFonts w:hint="eastAsia" w:hAnsi="宋体"/>
          <w:b/>
          <w:color w:val="auto"/>
          <w:sz w:val="24"/>
          <w:szCs w:val="24"/>
          <w:u w:val="single"/>
          <w:lang w:eastAsia="zh-CN"/>
        </w:rPr>
        <w:t>（</w:t>
      </w:r>
      <w:r>
        <w:rPr>
          <w:rFonts w:hint="eastAsia" w:hAnsi="宋体"/>
          <w:b/>
          <w:color w:val="auto"/>
          <w:sz w:val="24"/>
          <w:szCs w:val="24"/>
          <w:u w:val="single"/>
        </w:rPr>
        <w:t>请按</w:t>
      </w:r>
      <w:r>
        <w:rPr>
          <w:rFonts w:hint="eastAsia" w:hAnsi="宋体"/>
          <w:b/>
          <w:bCs/>
          <w:color w:val="auto"/>
          <w:sz w:val="24"/>
          <w:szCs w:val="24"/>
          <w:u w:val="single"/>
          <w:lang w:eastAsia="zh-CN"/>
        </w:rPr>
        <w:t>响应文件</w:t>
      </w:r>
      <w:r>
        <w:rPr>
          <w:rFonts w:hint="eastAsia" w:hAnsi="宋体"/>
          <w:b/>
          <w:bCs/>
          <w:color w:val="auto"/>
          <w:sz w:val="24"/>
          <w:szCs w:val="24"/>
          <w:u w:val="single"/>
        </w:rPr>
        <w:t>编制的</w:t>
      </w:r>
      <w:r>
        <w:rPr>
          <w:rFonts w:hint="eastAsia" w:hAnsi="宋体"/>
          <w:b/>
          <w:color w:val="auto"/>
          <w:sz w:val="24"/>
          <w:szCs w:val="24"/>
          <w:u w:val="single"/>
        </w:rPr>
        <w:t>顺序和以下要求格式制作</w:t>
      </w:r>
      <w:r>
        <w:rPr>
          <w:rFonts w:hint="eastAsia" w:hAnsi="宋体"/>
          <w:b/>
          <w:color w:val="auto"/>
          <w:sz w:val="24"/>
          <w:szCs w:val="24"/>
          <w:u w:val="single"/>
          <w:lang w:eastAsia="zh-CN"/>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2" w:firstLineChars="200"/>
        <w:textAlignment w:val="auto"/>
        <w:outlineLvl w:val="9"/>
        <w:rPr>
          <w:rFonts w:hAnsi="宋体"/>
          <w:b/>
          <w:bCs w:val="0"/>
          <w:color w:val="auto"/>
          <w:sz w:val="24"/>
          <w:szCs w:val="24"/>
          <w:u w:val="none"/>
          <w:lang w:val="zh-CN"/>
        </w:rPr>
      </w:pPr>
      <w:r>
        <w:rPr>
          <w:rFonts w:hint="eastAsia" w:hAnsi="宋体"/>
          <w:b/>
          <w:bCs w:val="0"/>
          <w:color w:val="auto"/>
          <w:sz w:val="24"/>
          <w:szCs w:val="24"/>
          <w:u w:val="none"/>
          <w:lang w:val="zh-CN"/>
        </w:rPr>
        <w:t>第一节、自查表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2" w:firstLineChars="200"/>
        <w:textAlignment w:val="auto"/>
        <w:outlineLvl w:val="9"/>
        <w:rPr>
          <w:rFonts w:hAnsi="宋体"/>
          <w:b/>
          <w:bCs w:val="0"/>
          <w:color w:val="auto"/>
          <w:kern w:val="2"/>
          <w:sz w:val="24"/>
          <w:szCs w:val="24"/>
          <w:u w:val="none"/>
        </w:rPr>
      </w:pPr>
      <w:r>
        <w:rPr>
          <w:rFonts w:hint="eastAsia" w:hAnsi="宋体"/>
          <w:b/>
          <w:bCs w:val="0"/>
          <w:color w:val="auto"/>
          <w:sz w:val="24"/>
          <w:szCs w:val="24"/>
          <w:u w:val="none"/>
          <w:lang w:val="zh-CN"/>
        </w:rPr>
        <w:t>第二节、</w:t>
      </w:r>
      <w:r>
        <w:rPr>
          <w:rFonts w:hint="eastAsia" w:hAnsi="宋体"/>
          <w:b/>
          <w:bCs w:val="0"/>
          <w:color w:val="auto"/>
          <w:kern w:val="2"/>
          <w:sz w:val="24"/>
          <w:szCs w:val="24"/>
          <w:u w:val="none"/>
          <w:lang w:val="zh-CN"/>
        </w:rPr>
        <w:t>商务部分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附表2.1   报价函格式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附表2.2.1 资格声明书格式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附表2.2.2 法定代表人证明书格式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附表2.2.3 法定代表人授权书格式（有被授权人时适用）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lang w:eastAsia="zh-CN"/>
        </w:rPr>
        <w:t>响应供应商</w:t>
      </w:r>
      <w:r>
        <w:rPr>
          <w:rFonts w:hint="eastAsia" w:hAnsi="宋体"/>
          <w:color w:val="auto"/>
          <w:sz w:val="24"/>
          <w:szCs w:val="24"/>
        </w:rPr>
        <w:t>的相关资格证明资料复印件（加盖</w:t>
      </w:r>
      <w:r>
        <w:rPr>
          <w:rFonts w:hint="eastAsia" w:hAnsi="宋体"/>
          <w:color w:val="auto"/>
          <w:sz w:val="24"/>
          <w:szCs w:val="24"/>
          <w:lang w:eastAsia="zh-CN"/>
        </w:rPr>
        <w:t>响应供应商</w:t>
      </w:r>
      <w:r>
        <w:rPr>
          <w:rFonts w:hint="eastAsia" w:hAnsi="宋体"/>
          <w:color w:val="auto"/>
          <w:sz w:val="24"/>
          <w:szCs w:val="24"/>
        </w:rPr>
        <w:t>法人公章），其中包括：</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A、证明</w:t>
      </w:r>
      <w:r>
        <w:rPr>
          <w:rFonts w:hint="eastAsia" w:hAnsi="宋体"/>
          <w:color w:val="auto"/>
          <w:sz w:val="24"/>
          <w:szCs w:val="24"/>
          <w:lang w:eastAsia="zh-CN"/>
        </w:rPr>
        <w:t>响应供应商</w:t>
      </w:r>
      <w:r>
        <w:rPr>
          <w:rFonts w:hint="eastAsia" w:hAnsi="宋体"/>
          <w:color w:val="auto"/>
          <w:sz w:val="24"/>
          <w:szCs w:val="24"/>
        </w:rPr>
        <w:t>的合格性的证明文件，详见《报价须知前附表》；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 xml:space="preserve">B. </w:t>
      </w:r>
      <w:r>
        <w:rPr>
          <w:rFonts w:hint="eastAsia" w:hAnsi="宋体"/>
          <w:color w:val="auto"/>
          <w:sz w:val="24"/>
          <w:szCs w:val="24"/>
          <w:lang w:eastAsia="zh-CN"/>
        </w:rPr>
        <w:t>响应供应商</w:t>
      </w:r>
      <w:r>
        <w:rPr>
          <w:rFonts w:hint="eastAsia" w:hAnsi="宋体"/>
          <w:color w:val="auto"/>
          <w:sz w:val="24"/>
          <w:szCs w:val="24"/>
        </w:rPr>
        <w:t>所必须符合满足条件，详见《报价须知前附表》；</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C. 其他资格证明资料（不限于《第</w:t>
      </w:r>
      <w:r>
        <w:rPr>
          <w:rFonts w:hint="eastAsia" w:hAnsi="宋体"/>
          <w:color w:val="auto"/>
          <w:sz w:val="24"/>
          <w:szCs w:val="24"/>
          <w:lang w:eastAsia="zh-CN"/>
        </w:rPr>
        <w:t>三</w:t>
      </w:r>
      <w:r>
        <w:rPr>
          <w:rFonts w:hint="eastAsia" w:hAnsi="宋体"/>
          <w:color w:val="auto"/>
          <w:sz w:val="24"/>
          <w:szCs w:val="24"/>
        </w:rPr>
        <w:t>篇 用户需求书》内容）（如有）；</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 xml:space="preserve">附表2.3   </w:t>
      </w:r>
      <w:r>
        <w:rPr>
          <w:rFonts w:hint="eastAsia" w:hAnsi="宋体"/>
          <w:color w:val="auto"/>
          <w:sz w:val="24"/>
          <w:szCs w:val="24"/>
          <w:lang w:eastAsia="zh-CN"/>
        </w:rPr>
        <w:t>响应保证金</w:t>
      </w:r>
      <w:r>
        <w:rPr>
          <w:rFonts w:hint="eastAsia" w:hAnsi="宋体"/>
          <w:color w:val="auto"/>
          <w:sz w:val="24"/>
          <w:szCs w:val="24"/>
        </w:rPr>
        <w:t>缴纳情况说明</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 xml:space="preserve">附表2.4.1 </w:t>
      </w:r>
      <w:r>
        <w:rPr>
          <w:rFonts w:hint="eastAsia" w:hAnsi="宋体"/>
          <w:color w:val="auto"/>
          <w:sz w:val="24"/>
          <w:szCs w:val="24"/>
          <w:lang w:eastAsia="zh-CN"/>
        </w:rPr>
        <w:t>响应供应商</w:t>
      </w:r>
      <w:r>
        <w:rPr>
          <w:rFonts w:hint="eastAsia" w:hAnsi="宋体"/>
          <w:color w:val="auto"/>
          <w:sz w:val="24"/>
          <w:szCs w:val="24"/>
        </w:rPr>
        <w:t>基本情况表格式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附表2.4.2 合同条款响应程度（合同条款偏离表）格式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附表2.5   成交服务费承诺书格式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附表2.6   退还保证金声明格式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附表2.7   项目管理架构格式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附表2.8   实质性响应</w:t>
      </w:r>
      <w:r>
        <w:rPr>
          <w:rFonts w:hint="eastAsia" w:hAnsi="宋体"/>
          <w:color w:val="auto"/>
          <w:sz w:val="24"/>
          <w:szCs w:val="24"/>
          <w:lang w:eastAsia="zh-CN"/>
        </w:rPr>
        <w:t>采购需求</w:t>
      </w:r>
      <w:r>
        <w:rPr>
          <w:rFonts w:hint="eastAsia" w:hAnsi="宋体"/>
          <w:color w:val="auto"/>
          <w:sz w:val="24"/>
          <w:szCs w:val="24"/>
        </w:rPr>
        <w:t>条款响应表格式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附表2.9   一般商务条款响应表格式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2" w:firstLineChars="200"/>
        <w:textAlignment w:val="auto"/>
        <w:outlineLvl w:val="9"/>
        <w:rPr>
          <w:rFonts w:hint="eastAsia" w:ascii="宋体" w:hAnsi="宋体" w:eastAsia="宋体" w:cs="Times New Roman"/>
          <w:b/>
          <w:bCs w:val="0"/>
          <w:color w:val="auto"/>
          <w:sz w:val="24"/>
          <w:szCs w:val="24"/>
          <w:u w:val="none"/>
          <w:lang w:val="zh-CN"/>
        </w:rPr>
      </w:pPr>
      <w:r>
        <w:rPr>
          <w:rFonts w:hint="eastAsia" w:ascii="宋体" w:hAnsi="宋体" w:eastAsia="宋体" w:cs="Times New Roman"/>
          <w:b/>
          <w:bCs w:val="0"/>
          <w:color w:val="auto"/>
          <w:sz w:val="24"/>
          <w:szCs w:val="24"/>
          <w:u w:val="none"/>
          <w:lang w:val="zh-CN" w:eastAsia="zh-CN"/>
        </w:rPr>
        <w:t>第三节</w:t>
      </w:r>
      <w:r>
        <w:rPr>
          <w:rFonts w:hint="eastAsia" w:ascii="宋体" w:hAnsi="宋体" w:eastAsia="宋体" w:cs="Times New Roman"/>
          <w:b/>
          <w:bCs w:val="0"/>
          <w:color w:val="auto"/>
          <w:sz w:val="24"/>
          <w:szCs w:val="24"/>
          <w:u w:val="none"/>
          <w:lang w:val="en-US" w:eastAsia="zh-CN"/>
        </w:rPr>
        <w:t xml:space="preserve"> </w:t>
      </w:r>
      <w:r>
        <w:rPr>
          <w:rFonts w:hint="eastAsia" w:ascii="宋体" w:hAnsi="宋体" w:eastAsia="宋体" w:cs="Times New Roman"/>
          <w:b/>
          <w:bCs w:val="0"/>
          <w:color w:val="auto"/>
          <w:sz w:val="24"/>
          <w:szCs w:val="24"/>
          <w:u w:val="none"/>
          <w:lang w:val="zh-CN"/>
        </w:rPr>
        <w:t>技术部分</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int="eastAsia" w:hAnsi="宋体"/>
          <w:color w:val="auto"/>
          <w:sz w:val="24"/>
          <w:szCs w:val="24"/>
        </w:rPr>
      </w:pPr>
      <w:r>
        <w:rPr>
          <w:rFonts w:hint="eastAsia" w:hAnsi="宋体"/>
          <w:color w:val="auto"/>
          <w:sz w:val="24"/>
          <w:szCs w:val="24"/>
        </w:rPr>
        <w:t>附表3.1 实施方案</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int="eastAsia" w:hAnsi="宋体"/>
          <w:color w:val="auto"/>
          <w:sz w:val="24"/>
          <w:szCs w:val="24"/>
        </w:rPr>
      </w:pPr>
      <w:r>
        <w:rPr>
          <w:rFonts w:hint="eastAsia" w:hAnsi="宋体"/>
          <w:color w:val="auto"/>
          <w:sz w:val="24"/>
          <w:szCs w:val="24"/>
        </w:rPr>
        <w:t>附表3.2 应急服务保障能力格式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int="eastAsia" w:hAnsi="宋体"/>
          <w:color w:val="auto"/>
          <w:sz w:val="24"/>
          <w:szCs w:val="24"/>
        </w:rPr>
      </w:pPr>
      <w:r>
        <w:rPr>
          <w:rFonts w:hint="eastAsia" w:hAnsi="宋体"/>
          <w:color w:val="auto"/>
          <w:sz w:val="24"/>
          <w:szCs w:val="24"/>
        </w:rPr>
        <w:t>附表3.3 采购人配合的条件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Ansi="宋体"/>
          <w:color w:val="auto"/>
          <w:sz w:val="24"/>
          <w:szCs w:val="24"/>
        </w:rPr>
      </w:pPr>
      <w:r>
        <w:rPr>
          <w:rFonts w:hint="eastAsia" w:hAnsi="宋体"/>
          <w:color w:val="auto"/>
          <w:sz w:val="24"/>
          <w:szCs w:val="24"/>
        </w:rPr>
        <w:t>附表3.4 技术规格偏离表格式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2" w:firstLineChars="200"/>
        <w:textAlignment w:val="auto"/>
        <w:outlineLvl w:val="9"/>
        <w:rPr>
          <w:rFonts w:hAnsi="宋体"/>
          <w:b/>
          <w:bCs/>
          <w:color w:val="auto"/>
          <w:sz w:val="24"/>
          <w:szCs w:val="24"/>
        </w:rPr>
      </w:pPr>
      <w:r>
        <w:rPr>
          <w:rFonts w:hint="eastAsia" w:hAnsi="宋体"/>
          <w:b/>
          <w:bCs/>
          <w:color w:val="auto"/>
          <w:sz w:val="24"/>
          <w:szCs w:val="24"/>
          <w:lang w:val="zh-CN"/>
        </w:rPr>
        <w:t>第四节、经济文件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附表4.1  </w:t>
      </w:r>
      <w:r>
        <w:rPr>
          <w:rFonts w:hint="eastAsia" w:hAnsi="宋体" w:cs="Times New Roman"/>
          <w:color w:val="auto"/>
          <w:sz w:val="24"/>
          <w:szCs w:val="24"/>
          <w:lang w:eastAsia="zh-CN"/>
        </w:rPr>
        <w:t>首轮</w:t>
      </w:r>
      <w:r>
        <w:rPr>
          <w:rFonts w:hint="eastAsia" w:ascii="宋体" w:hAnsi="宋体" w:eastAsia="宋体" w:cs="Times New Roman"/>
          <w:color w:val="auto"/>
          <w:sz w:val="24"/>
          <w:szCs w:val="24"/>
        </w:rPr>
        <w:t>报价总表格式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int="eastAsia" w:ascii="宋体" w:hAnsi="宋体" w:eastAsia="宋体" w:cs="Times New Roman"/>
          <w:color w:val="auto"/>
          <w:sz w:val="24"/>
          <w:szCs w:val="24"/>
        </w:rPr>
      </w:pPr>
      <w:r>
        <w:rPr>
          <w:rFonts w:hint="eastAsia" w:ascii="宋体" w:hAnsi="宋体" w:eastAsia="宋体" w:cs="Times New Roman"/>
          <w:color w:val="auto"/>
          <w:sz w:val="24"/>
          <w:szCs w:val="24"/>
        </w:rPr>
        <w:t>附表4.2  分类报价明细表格式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outlineLvl w:val="9"/>
        <w:rPr>
          <w:rFonts w:hint="eastAsia" w:ascii="宋体" w:hAnsi="宋体" w:eastAsia="宋体" w:cs="Times New Roman"/>
          <w:color w:val="auto"/>
          <w:sz w:val="24"/>
          <w:szCs w:val="24"/>
        </w:rPr>
      </w:pPr>
      <w:r>
        <w:rPr>
          <w:rFonts w:hint="eastAsia" w:ascii="宋体" w:hAnsi="宋体" w:eastAsia="宋体" w:cs="Times New Roman"/>
          <w:color w:val="auto"/>
          <w:sz w:val="24"/>
          <w:szCs w:val="24"/>
        </w:rPr>
        <w:t>（</w:t>
      </w: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rPr>
        <w:t>应根据实际情况，按上述内容及顺序编订成册）</w:t>
      </w:r>
      <w:r>
        <w:rPr>
          <w:rFonts w:hint="eastAsia" w:ascii="宋体" w:hAnsi="宋体" w:eastAsia="宋体" w:cs="Times New Roman"/>
          <w:color w:val="auto"/>
          <w:sz w:val="24"/>
          <w:szCs w:val="24"/>
        </w:rPr>
        <w:tab/>
      </w:r>
      <w:bookmarkStart w:id="49" w:name="_Toc273565290"/>
      <w:bookmarkStart w:id="50" w:name="_Toc273565090"/>
    </w:p>
    <w:p>
      <w:pPr>
        <w:kinsoku/>
        <w:overflowPunct/>
        <w:topLinePunct w:val="0"/>
        <w:bidi w:val="0"/>
        <w:outlineLvl w:val="9"/>
        <w:rPr>
          <w:color w:val="auto"/>
        </w:rPr>
      </w:pPr>
      <w:bookmarkStart w:id="51" w:name="_Toc382840849"/>
      <w:bookmarkStart w:id="52" w:name="_Toc382926901"/>
    </w:p>
    <w:p>
      <w:pPr>
        <w:kinsoku/>
        <w:overflowPunct/>
        <w:topLinePunct w:val="0"/>
        <w:bidi w:val="0"/>
        <w:spacing w:after="120" w:line="480" w:lineRule="exact"/>
        <w:jc w:val="center"/>
        <w:outlineLvl w:val="9"/>
        <w:rPr>
          <w:rFonts w:hAnsi="宋体"/>
          <w:b/>
          <w:color w:val="auto"/>
          <w:sz w:val="28"/>
          <w:szCs w:val="28"/>
        </w:rPr>
      </w:pPr>
      <w:r>
        <w:rPr>
          <w:rFonts w:hint="eastAsia" w:hAnsi="宋体"/>
          <w:b/>
          <w:color w:val="auto"/>
          <w:sz w:val="28"/>
          <w:szCs w:val="28"/>
        </w:rPr>
        <w:t>第一节 自查表</w:t>
      </w:r>
      <w:bookmarkEnd w:id="51"/>
      <w:bookmarkEnd w:id="52"/>
    </w:p>
    <w:p>
      <w:pPr>
        <w:kinsoku/>
        <w:overflowPunct/>
        <w:topLinePunct w:val="0"/>
        <w:bidi w:val="0"/>
        <w:outlineLvl w:val="9"/>
        <w:rPr>
          <w:color w:val="auto"/>
        </w:rPr>
      </w:pPr>
    </w:p>
    <w:tbl>
      <w:tblPr>
        <w:tblStyle w:val="21"/>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40"/>
        <w:gridCol w:w="4500"/>
        <w:gridCol w:w="1404"/>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2268" w:type="dxa"/>
            <w:gridSpan w:val="2"/>
            <w:vAlign w:val="center"/>
          </w:tcPr>
          <w:p>
            <w:pPr>
              <w:kinsoku/>
              <w:overflowPunct/>
              <w:topLinePunct w:val="0"/>
              <w:bidi w:val="0"/>
              <w:ind w:left="-171" w:firstLine="422"/>
              <w:jc w:val="center"/>
              <w:outlineLvl w:val="9"/>
              <w:rPr>
                <w:rFonts w:hAnsi="宋体"/>
                <w:b/>
                <w:bCs/>
                <w:color w:val="auto"/>
                <w:sz w:val="21"/>
                <w:szCs w:val="21"/>
              </w:rPr>
            </w:pPr>
            <w:r>
              <w:rPr>
                <w:rFonts w:hint="eastAsia" w:hAnsi="宋体"/>
                <w:b/>
                <w:bCs/>
                <w:color w:val="auto"/>
                <w:sz w:val="21"/>
                <w:szCs w:val="21"/>
              </w:rPr>
              <w:t>评审内容</w:t>
            </w:r>
          </w:p>
        </w:tc>
        <w:tc>
          <w:tcPr>
            <w:tcW w:w="4500" w:type="dxa"/>
            <w:vAlign w:val="center"/>
          </w:tcPr>
          <w:p>
            <w:pPr>
              <w:kinsoku/>
              <w:overflowPunct/>
              <w:topLinePunct w:val="0"/>
              <w:bidi w:val="0"/>
              <w:ind w:left="-171" w:firstLine="422"/>
              <w:jc w:val="center"/>
              <w:outlineLvl w:val="9"/>
              <w:rPr>
                <w:rFonts w:hAnsi="宋体"/>
                <w:b/>
                <w:bCs/>
                <w:color w:val="auto"/>
                <w:sz w:val="21"/>
                <w:szCs w:val="21"/>
              </w:rPr>
            </w:pPr>
            <w:r>
              <w:rPr>
                <w:rFonts w:hint="eastAsia" w:hAnsi="宋体"/>
                <w:b/>
                <w:bCs/>
                <w:color w:val="auto"/>
                <w:sz w:val="21"/>
                <w:szCs w:val="21"/>
              </w:rPr>
              <w:t>采购文件要求</w:t>
            </w:r>
          </w:p>
        </w:tc>
        <w:tc>
          <w:tcPr>
            <w:tcW w:w="1404" w:type="dxa"/>
            <w:vAlign w:val="center"/>
          </w:tcPr>
          <w:p>
            <w:pPr>
              <w:kinsoku/>
              <w:overflowPunct/>
              <w:topLinePunct w:val="0"/>
              <w:bidi w:val="0"/>
              <w:ind w:left="-171" w:firstLine="422"/>
              <w:jc w:val="center"/>
              <w:outlineLvl w:val="9"/>
              <w:rPr>
                <w:rFonts w:hAnsi="宋体"/>
                <w:b/>
                <w:bCs/>
                <w:color w:val="auto"/>
                <w:sz w:val="21"/>
                <w:szCs w:val="21"/>
              </w:rPr>
            </w:pPr>
            <w:r>
              <w:rPr>
                <w:rFonts w:hint="eastAsia" w:hAnsi="宋体"/>
                <w:b/>
                <w:bCs/>
                <w:color w:val="auto"/>
                <w:sz w:val="21"/>
                <w:szCs w:val="21"/>
              </w:rPr>
              <w:t>自查结论</w:t>
            </w:r>
          </w:p>
        </w:tc>
        <w:tc>
          <w:tcPr>
            <w:tcW w:w="1859" w:type="dxa"/>
            <w:vAlign w:val="center"/>
          </w:tcPr>
          <w:p>
            <w:pPr>
              <w:kinsoku/>
              <w:overflowPunct/>
              <w:topLinePunct w:val="0"/>
              <w:bidi w:val="0"/>
              <w:ind w:left="-171" w:firstLine="422"/>
              <w:jc w:val="center"/>
              <w:outlineLvl w:val="9"/>
              <w:rPr>
                <w:rFonts w:hAnsi="宋体"/>
                <w:b/>
                <w:bCs/>
                <w:color w:val="auto"/>
                <w:sz w:val="21"/>
                <w:szCs w:val="21"/>
              </w:rPr>
            </w:pPr>
            <w:r>
              <w:rPr>
                <w:rFonts w:hint="eastAsia" w:hAnsi="宋体"/>
                <w:b/>
                <w:bCs/>
                <w:color w:val="auto"/>
                <w:sz w:val="21"/>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restart"/>
            <w:vAlign w:val="center"/>
          </w:tcPr>
          <w:p>
            <w:pPr>
              <w:kinsoku/>
              <w:overflowPunct/>
              <w:topLinePunct w:val="0"/>
              <w:bidi w:val="0"/>
              <w:snapToGrid w:val="0"/>
              <w:spacing w:line="300" w:lineRule="auto"/>
              <w:jc w:val="center"/>
              <w:outlineLvl w:val="9"/>
              <w:rPr>
                <w:rFonts w:hAnsi="宋体"/>
                <w:color w:val="auto"/>
                <w:sz w:val="21"/>
                <w:szCs w:val="21"/>
              </w:rPr>
            </w:pPr>
            <w:r>
              <w:rPr>
                <w:rFonts w:hint="eastAsia" w:hAnsi="宋体"/>
                <w:color w:val="auto"/>
                <w:sz w:val="21"/>
                <w:szCs w:val="21"/>
              </w:rPr>
              <w:t>资格性检查</w:t>
            </w:r>
          </w:p>
        </w:tc>
        <w:tc>
          <w:tcPr>
            <w:tcW w:w="1440" w:type="dxa"/>
            <w:vAlign w:val="center"/>
          </w:tcPr>
          <w:p>
            <w:pPr>
              <w:kinsoku/>
              <w:overflowPunct/>
              <w:topLinePunct w:val="0"/>
              <w:bidi w:val="0"/>
              <w:ind w:left="46" w:leftChars="19"/>
              <w:jc w:val="center"/>
              <w:outlineLvl w:val="9"/>
              <w:rPr>
                <w:rFonts w:hAnsi="宋体"/>
                <w:color w:val="auto"/>
                <w:sz w:val="21"/>
                <w:szCs w:val="21"/>
              </w:rPr>
            </w:pPr>
            <w:r>
              <w:rPr>
                <w:rFonts w:hint="eastAsia" w:hAnsi="宋体"/>
                <w:color w:val="auto"/>
                <w:sz w:val="21"/>
                <w:szCs w:val="21"/>
              </w:rPr>
              <w:t>报价函</w:t>
            </w:r>
          </w:p>
        </w:tc>
        <w:tc>
          <w:tcPr>
            <w:tcW w:w="4500" w:type="dxa"/>
            <w:vAlign w:val="center"/>
          </w:tcPr>
          <w:p>
            <w:pPr>
              <w:kinsoku/>
              <w:overflowPunct/>
              <w:topLinePunct w:val="0"/>
              <w:bidi w:val="0"/>
              <w:ind w:left="46" w:leftChars="19"/>
              <w:jc w:val="both"/>
              <w:outlineLvl w:val="9"/>
              <w:rPr>
                <w:rFonts w:hAnsi="宋体"/>
                <w:color w:val="auto"/>
                <w:sz w:val="21"/>
                <w:szCs w:val="21"/>
              </w:rPr>
            </w:pPr>
            <w:r>
              <w:rPr>
                <w:rFonts w:hint="eastAsia" w:hAnsi="宋体"/>
                <w:color w:val="auto"/>
                <w:sz w:val="21"/>
                <w:szCs w:val="21"/>
              </w:rPr>
              <w:t>按对应格式文件填写、签署、盖章(原件)</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vAlign w:val="center"/>
          </w:tcPr>
          <w:p>
            <w:pPr>
              <w:kinsoku/>
              <w:overflowPunct/>
              <w:topLinePunct w:val="0"/>
              <w:bidi w:val="0"/>
              <w:snapToGrid w:val="0"/>
              <w:spacing w:line="300" w:lineRule="auto"/>
              <w:jc w:val="center"/>
              <w:outlineLvl w:val="9"/>
              <w:rPr>
                <w:rFonts w:hAnsi="宋体"/>
                <w:color w:val="auto"/>
                <w:sz w:val="21"/>
                <w:szCs w:val="21"/>
              </w:rPr>
            </w:pPr>
          </w:p>
        </w:tc>
        <w:tc>
          <w:tcPr>
            <w:tcW w:w="1440" w:type="dxa"/>
            <w:vAlign w:val="center"/>
          </w:tcPr>
          <w:p>
            <w:pPr>
              <w:kinsoku/>
              <w:overflowPunct/>
              <w:topLinePunct w:val="0"/>
              <w:bidi w:val="0"/>
              <w:ind w:left="46" w:leftChars="19"/>
              <w:jc w:val="center"/>
              <w:outlineLvl w:val="9"/>
              <w:rPr>
                <w:rFonts w:hAnsi="宋体"/>
                <w:color w:val="auto"/>
                <w:sz w:val="21"/>
                <w:szCs w:val="21"/>
              </w:rPr>
            </w:pPr>
            <w:r>
              <w:rPr>
                <w:rFonts w:hint="eastAsia" w:hAnsi="宋体"/>
                <w:color w:val="auto"/>
                <w:sz w:val="21"/>
                <w:szCs w:val="21"/>
              </w:rPr>
              <w:t>法定代表人/负责人资格证明书及授权委托书</w:t>
            </w:r>
          </w:p>
        </w:tc>
        <w:tc>
          <w:tcPr>
            <w:tcW w:w="4500" w:type="dxa"/>
            <w:vAlign w:val="center"/>
          </w:tcPr>
          <w:p>
            <w:pPr>
              <w:kinsoku/>
              <w:overflowPunct/>
              <w:topLinePunct w:val="0"/>
              <w:bidi w:val="0"/>
              <w:ind w:left="46" w:leftChars="19"/>
              <w:jc w:val="both"/>
              <w:outlineLvl w:val="9"/>
              <w:rPr>
                <w:rFonts w:hAnsi="宋体"/>
                <w:color w:val="auto"/>
                <w:sz w:val="21"/>
                <w:szCs w:val="21"/>
              </w:rPr>
            </w:pPr>
            <w:r>
              <w:rPr>
                <w:rFonts w:hint="eastAsia" w:hAnsi="宋体"/>
                <w:color w:val="auto"/>
                <w:sz w:val="21"/>
                <w:szCs w:val="21"/>
              </w:rPr>
              <w:t>按对应格式文件签署、盖章(原件)</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vAlign w:val="center"/>
          </w:tcPr>
          <w:p>
            <w:pPr>
              <w:kinsoku/>
              <w:overflowPunct/>
              <w:topLinePunct w:val="0"/>
              <w:bidi w:val="0"/>
              <w:snapToGrid w:val="0"/>
              <w:spacing w:line="300" w:lineRule="auto"/>
              <w:jc w:val="center"/>
              <w:outlineLvl w:val="9"/>
              <w:rPr>
                <w:rFonts w:hAnsi="宋体"/>
                <w:color w:val="auto"/>
                <w:sz w:val="21"/>
                <w:szCs w:val="21"/>
              </w:rPr>
            </w:pPr>
          </w:p>
        </w:tc>
        <w:tc>
          <w:tcPr>
            <w:tcW w:w="1440" w:type="dxa"/>
            <w:vAlign w:val="center"/>
          </w:tcPr>
          <w:p>
            <w:pPr>
              <w:kinsoku/>
              <w:overflowPunct/>
              <w:topLinePunct w:val="0"/>
              <w:bidi w:val="0"/>
              <w:ind w:left="46" w:leftChars="19"/>
              <w:jc w:val="center"/>
              <w:outlineLvl w:val="9"/>
              <w:rPr>
                <w:rFonts w:hAnsi="宋体"/>
                <w:color w:val="auto"/>
                <w:sz w:val="21"/>
                <w:szCs w:val="21"/>
              </w:rPr>
            </w:pPr>
            <w:r>
              <w:rPr>
                <w:rFonts w:hint="eastAsia" w:hAnsi="宋体"/>
                <w:color w:val="auto"/>
                <w:sz w:val="21"/>
                <w:szCs w:val="21"/>
              </w:rPr>
              <w:t>准入条件(关于资格的声明)</w:t>
            </w:r>
          </w:p>
        </w:tc>
        <w:tc>
          <w:tcPr>
            <w:tcW w:w="4500" w:type="dxa"/>
            <w:vAlign w:val="center"/>
          </w:tcPr>
          <w:p>
            <w:pPr>
              <w:kinsoku/>
              <w:overflowPunct/>
              <w:topLinePunct w:val="0"/>
              <w:bidi w:val="0"/>
              <w:ind w:left="46" w:leftChars="19"/>
              <w:jc w:val="both"/>
              <w:outlineLvl w:val="9"/>
              <w:rPr>
                <w:rFonts w:hint="eastAsia" w:ascii="宋体" w:hAnsi="宋体" w:eastAsia="宋体" w:cs="Times New Roman"/>
                <w:color w:val="auto"/>
                <w:sz w:val="21"/>
                <w:szCs w:val="21"/>
              </w:rPr>
            </w:pPr>
            <w:r>
              <w:rPr>
                <w:rFonts w:hint="eastAsia" w:ascii="宋体" w:hAnsi="宋体" w:eastAsia="宋体" w:cs="Times New Roman"/>
                <w:color w:val="auto"/>
                <w:sz w:val="21"/>
                <w:szCs w:val="21"/>
              </w:rPr>
              <w:t>&lt;按《报价须知前附表》内容填写&gt;</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vAlign w:val="center"/>
          </w:tcPr>
          <w:p>
            <w:pPr>
              <w:kinsoku/>
              <w:overflowPunct/>
              <w:topLinePunct w:val="0"/>
              <w:bidi w:val="0"/>
              <w:snapToGrid w:val="0"/>
              <w:spacing w:line="300" w:lineRule="auto"/>
              <w:jc w:val="center"/>
              <w:outlineLvl w:val="9"/>
              <w:rPr>
                <w:rFonts w:hAnsi="宋体"/>
                <w:color w:val="auto"/>
                <w:sz w:val="21"/>
                <w:szCs w:val="21"/>
              </w:rPr>
            </w:pPr>
          </w:p>
        </w:tc>
        <w:tc>
          <w:tcPr>
            <w:tcW w:w="1440" w:type="dxa"/>
            <w:vAlign w:val="center"/>
          </w:tcPr>
          <w:p>
            <w:pPr>
              <w:kinsoku/>
              <w:overflowPunct/>
              <w:topLinePunct w:val="0"/>
              <w:bidi w:val="0"/>
              <w:ind w:left="46" w:leftChars="19"/>
              <w:jc w:val="center"/>
              <w:outlineLvl w:val="9"/>
              <w:rPr>
                <w:rFonts w:hAnsi="宋体"/>
                <w:color w:val="auto"/>
                <w:sz w:val="21"/>
                <w:szCs w:val="21"/>
              </w:rPr>
            </w:pPr>
            <w:r>
              <w:rPr>
                <w:rFonts w:hint="eastAsia" w:hAnsi="宋体"/>
                <w:color w:val="auto"/>
                <w:sz w:val="21"/>
                <w:szCs w:val="21"/>
              </w:rPr>
              <w:t>服务合格性</w:t>
            </w:r>
          </w:p>
          <w:p>
            <w:pPr>
              <w:kinsoku/>
              <w:overflowPunct/>
              <w:topLinePunct w:val="0"/>
              <w:bidi w:val="0"/>
              <w:ind w:left="46" w:leftChars="19"/>
              <w:jc w:val="center"/>
              <w:outlineLvl w:val="9"/>
              <w:rPr>
                <w:rFonts w:hAnsi="宋体"/>
                <w:color w:val="auto"/>
                <w:sz w:val="21"/>
                <w:szCs w:val="21"/>
              </w:rPr>
            </w:pPr>
            <w:r>
              <w:rPr>
                <w:rFonts w:hint="eastAsia" w:hAnsi="宋体"/>
                <w:color w:val="auto"/>
                <w:sz w:val="21"/>
                <w:szCs w:val="21"/>
              </w:rPr>
              <w:t>条件</w:t>
            </w:r>
          </w:p>
        </w:tc>
        <w:tc>
          <w:tcPr>
            <w:tcW w:w="4500" w:type="dxa"/>
            <w:vAlign w:val="center"/>
          </w:tcPr>
          <w:p>
            <w:pPr>
              <w:kinsoku/>
              <w:overflowPunct/>
              <w:topLinePunct w:val="0"/>
              <w:bidi w:val="0"/>
              <w:ind w:left="46" w:leftChars="19"/>
              <w:jc w:val="both"/>
              <w:outlineLvl w:val="9"/>
              <w:rPr>
                <w:rFonts w:hint="eastAsia" w:ascii="宋体" w:hAnsi="宋体" w:eastAsia="宋体" w:cs="Times New Roman"/>
                <w:color w:val="auto"/>
                <w:sz w:val="21"/>
                <w:szCs w:val="21"/>
              </w:rPr>
            </w:pPr>
            <w:r>
              <w:rPr>
                <w:rFonts w:hint="eastAsia" w:ascii="宋体" w:hAnsi="宋体" w:eastAsia="宋体" w:cs="Times New Roman"/>
                <w:color w:val="auto"/>
                <w:sz w:val="21"/>
                <w:szCs w:val="21"/>
              </w:rPr>
              <w:t>《报价须知前附表》“</w:t>
            </w:r>
            <w:r>
              <w:rPr>
                <w:rFonts w:hint="eastAsia" w:hAnsi="宋体" w:cs="Times New Roman"/>
                <w:color w:val="auto"/>
                <w:sz w:val="21"/>
                <w:szCs w:val="21"/>
                <w:lang w:eastAsia="zh-CN"/>
              </w:rPr>
              <w:t>响应供应商</w:t>
            </w:r>
            <w:r>
              <w:rPr>
                <w:rFonts w:hint="eastAsia" w:ascii="宋体" w:hAnsi="宋体" w:eastAsia="宋体" w:cs="Times New Roman"/>
                <w:color w:val="auto"/>
                <w:sz w:val="21"/>
                <w:szCs w:val="21"/>
              </w:rPr>
              <w:t>必须满足条件”</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vAlign w:val="center"/>
          </w:tcPr>
          <w:p>
            <w:pPr>
              <w:kinsoku/>
              <w:overflowPunct/>
              <w:topLinePunct w:val="0"/>
              <w:bidi w:val="0"/>
              <w:snapToGrid w:val="0"/>
              <w:spacing w:line="300" w:lineRule="auto"/>
              <w:jc w:val="center"/>
              <w:outlineLvl w:val="9"/>
              <w:rPr>
                <w:rFonts w:hAnsi="宋体"/>
                <w:color w:val="auto"/>
                <w:sz w:val="21"/>
                <w:szCs w:val="21"/>
              </w:rPr>
            </w:pPr>
          </w:p>
        </w:tc>
        <w:tc>
          <w:tcPr>
            <w:tcW w:w="1440" w:type="dxa"/>
            <w:vAlign w:val="center"/>
          </w:tcPr>
          <w:p>
            <w:pPr>
              <w:kinsoku/>
              <w:overflowPunct/>
              <w:topLinePunct w:val="0"/>
              <w:bidi w:val="0"/>
              <w:ind w:left="-171"/>
              <w:jc w:val="center"/>
              <w:outlineLvl w:val="9"/>
              <w:rPr>
                <w:rFonts w:hAnsi="宋体"/>
                <w:color w:val="auto"/>
                <w:sz w:val="21"/>
                <w:szCs w:val="21"/>
              </w:rPr>
            </w:pPr>
            <w:r>
              <w:rPr>
                <w:rFonts w:hint="eastAsia" w:hAnsi="宋体"/>
                <w:color w:val="auto"/>
                <w:sz w:val="21"/>
                <w:szCs w:val="21"/>
              </w:rPr>
              <w:t>其他要求</w:t>
            </w:r>
          </w:p>
        </w:tc>
        <w:tc>
          <w:tcPr>
            <w:tcW w:w="4500" w:type="dxa"/>
            <w:vAlign w:val="center"/>
          </w:tcPr>
          <w:p>
            <w:pPr>
              <w:kinsoku/>
              <w:overflowPunct/>
              <w:topLinePunct w:val="0"/>
              <w:bidi w:val="0"/>
              <w:ind w:left="46" w:leftChars="19"/>
              <w:jc w:val="both"/>
              <w:outlineLvl w:val="9"/>
              <w:rPr>
                <w:rFonts w:hint="eastAsia" w:ascii="宋体" w:hAnsi="宋体" w:eastAsia="宋体" w:cs="Times New Roman"/>
                <w:color w:val="auto"/>
                <w:sz w:val="21"/>
                <w:szCs w:val="21"/>
              </w:rPr>
            </w:pPr>
            <w:r>
              <w:rPr>
                <w:rFonts w:hint="eastAsia" w:ascii="宋体" w:hAnsi="宋体" w:eastAsia="宋体" w:cs="Times New Roman"/>
                <w:color w:val="auto"/>
                <w:sz w:val="21"/>
                <w:szCs w:val="21"/>
              </w:rPr>
              <w:t>按报价资料清单中规定提供“必须提交”的文件资料</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restart"/>
            <w:vAlign w:val="center"/>
          </w:tcPr>
          <w:p>
            <w:pPr>
              <w:kinsoku/>
              <w:overflowPunct/>
              <w:topLinePunct w:val="0"/>
              <w:bidi w:val="0"/>
              <w:snapToGrid w:val="0"/>
              <w:spacing w:line="300" w:lineRule="auto"/>
              <w:jc w:val="center"/>
              <w:outlineLvl w:val="9"/>
              <w:rPr>
                <w:rFonts w:hAnsi="宋体"/>
                <w:color w:val="auto"/>
                <w:sz w:val="21"/>
                <w:szCs w:val="21"/>
              </w:rPr>
            </w:pPr>
            <w:r>
              <w:rPr>
                <w:rFonts w:hint="eastAsia" w:hAnsi="宋体"/>
                <w:color w:val="auto"/>
                <w:sz w:val="21"/>
                <w:szCs w:val="21"/>
              </w:rPr>
              <w:t>符合性审查</w:t>
            </w:r>
          </w:p>
        </w:tc>
        <w:tc>
          <w:tcPr>
            <w:tcW w:w="1440" w:type="dxa"/>
            <w:vMerge w:val="restart"/>
            <w:vAlign w:val="center"/>
          </w:tcPr>
          <w:p>
            <w:pPr>
              <w:kinsoku/>
              <w:overflowPunct/>
              <w:topLinePunct w:val="0"/>
              <w:bidi w:val="0"/>
              <w:ind w:left="-171"/>
              <w:jc w:val="center"/>
              <w:outlineLvl w:val="9"/>
              <w:rPr>
                <w:rFonts w:hAnsi="宋体"/>
                <w:color w:val="auto"/>
                <w:sz w:val="21"/>
                <w:szCs w:val="21"/>
              </w:rPr>
            </w:pPr>
            <w:r>
              <w:rPr>
                <w:rFonts w:hint="eastAsia" w:hAnsi="宋体"/>
                <w:color w:val="auto"/>
                <w:sz w:val="21"/>
                <w:szCs w:val="21"/>
                <w:lang w:eastAsia="zh-CN"/>
              </w:rPr>
              <w:t>响应供应商</w:t>
            </w:r>
            <w:r>
              <w:rPr>
                <w:rFonts w:hint="eastAsia" w:hAnsi="宋体"/>
                <w:color w:val="auto"/>
                <w:sz w:val="21"/>
                <w:szCs w:val="21"/>
              </w:rPr>
              <w:t>的</w:t>
            </w:r>
          </w:p>
          <w:p>
            <w:pPr>
              <w:kinsoku/>
              <w:overflowPunct/>
              <w:topLinePunct w:val="0"/>
              <w:bidi w:val="0"/>
              <w:ind w:left="-171"/>
              <w:jc w:val="center"/>
              <w:outlineLvl w:val="9"/>
              <w:rPr>
                <w:rFonts w:hAnsi="宋体"/>
                <w:color w:val="auto"/>
                <w:sz w:val="21"/>
                <w:szCs w:val="21"/>
              </w:rPr>
            </w:pPr>
            <w:r>
              <w:rPr>
                <w:rFonts w:hint="eastAsia" w:hAnsi="宋体"/>
                <w:color w:val="auto"/>
                <w:sz w:val="21"/>
                <w:szCs w:val="21"/>
              </w:rPr>
              <w:t>合格性</w:t>
            </w:r>
          </w:p>
        </w:tc>
        <w:tc>
          <w:tcPr>
            <w:tcW w:w="4500" w:type="dxa"/>
            <w:vAlign w:val="center"/>
          </w:tcPr>
          <w:p>
            <w:pPr>
              <w:tabs>
                <w:tab w:val="left" w:pos="2880"/>
              </w:tabs>
              <w:kinsoku/>
              <w:overflowPunct/>
              <w:topLinePunct w:val="0"/>
              <w:bidi w:val="0"/>
              <w:ind w:left="46" w:leftChars="19"/>
              <w:jc w:val="both"/>
              <w:outlineLvl w:val="9"/>
              <w:rPr>
                <w:rFonts w:hAnsi="宋体"/>
                <w:color w:val="auto"/>
                <w:sz w:val="21"/>
                <w:szCs w:val="21"/>
              </w:rPr>
            </w:pPr>
            <w:r>
              <w:rPr>
                <w:rFonts w:hint="eastAsia" w:hAnsi="宋体"/>
                <w:color w:val="auto"/>
                <w:sz w:val="21"/>
                <w:szCs w:val="21"/>
              </w:rPr>
              <w:t>在参与政府采购活动中未有违法违纪行为并受过处罚</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tcPr>
          <w:p>
            <w:pPr>
              <w:kinsoku/>
              <w:overflowPunct/>
              <w:topLinePunct w:val="0"/>
              <w:bidi w:val="0"/>
              <w:snapToGrid w:val="0"/>
              <w:spacing w:line="300" w:lineRule="auto"/>
              <w:outlineLvl w:val="9"/>
              <w:rPr>
                <w:rFonts w:hAnsi="宋体"/>
                <w:color w:val="auto"/>
                <w:sz w:val="21"/>
                <w:szCs w:val="21"/>
              </w:rPr>
            </w:pPr>
          </w:p>
        </w:tc>
        <w:tc>
          <w:tcPr>
            <w:tcW w:w="1440" w:type="dxa"/>
            <w:vMerge w:val="continue"/>
            <w:vAlign w:val="center"/>
          </w:tcPr>
          <w:p>
            <w:pPr>
              <w:kinsoku/>
              <w:overflowPunct/>
              <w:topLinePunct w:val="0"/>
              <w:bidi w:val="0"/>
              <w:ind w:left="-171"/>
              <w:jc w:val="center"/>
              <w:outlineLvl w:val="9"/>
              <w:rPr>
                <w:rFonts w:hAnsi="宋体"/>
                <w:color w:val="auto"/>
                <w:sz w:val="21"/>
                <w:szCs w:val="21"/>
              </w:rPr>
            </w:pPr>
          </w:p>
        </w:tc>
        <w:tc>
          <w:tcPr>
            <w:tcW w:w="4500" w:type="dxa"/>
            <w:vAlign w:val="center"/>
          </w:tcPr>
          <w:p>
            <w:pPr>
              <w:kinsoku/>
              <w:overflowPunct/>
              <w:topLinePunct w:val="0"/>
              <w:bidi w:val="0"/>
              <w:jc w:val="both"/>
              <w:outlineLvl w:val="9"/>
              <w:rPr>
                <w:rFonts w:hAnsi="宋体"/>
                <w:color w:val="auto"/>
                <w:sz w:val="21"/>
                <w:szCs w:val="21"/>
              </w:rPr>
            </w:pPr>
            <w:r>
              <w:rPr>
                <w:rFonts w:hint="eastAsia" w:hAnsi="宋体"/>
                <w:color w:val="auto"/>
                <w:sz w:val="21"/>
                <w:szCs w:val="21"/>
              </w:rPr>
              <w:t>在经营范围内报价</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tcPr>
          <w:p>
            <w:pPr>
              <w:kinsoku/>
              <w:overflowPunct/>
              <w:topLinePunct w:val="0"/>
              <w:bidi w:val="0"/>
              <w:snapToGrid w:val="0"/>
              <w:spacing w:line="300" w:lineRule="auto"/>
              <w:outlineLvl w:val="9"/>
              <w:rPr>
                <w:rFonts w:hAnsi="宋体"/>
                <w:color w:val="auto"/>
                <w:sz w:val="21"/>
                <w:szCs w:val="21"/>
              </w:rPr>
            </w:pPr>
          </w:p>
        </w:tc>
        <w:tc>
          <w:tcPr>
            <w:tcW w:w="1440" w:type="dxa"/>
            <w:vMerge w:val="continue"/>
            <w:vAlign w:val="center"/>
          </w:tcPr>
          <w:p>
            <w:pPr>
              <w:kinsoku/>
              <w:overflowPunct/>
              <w:topLinePunct w:val="0"/>
              <w:bidi w:val="0"/>
              <w:ind w:left="-171"/>
              <w:jc w:val="center"/>
              <w:outlineLvl w:val="9"/>
              <w:rPr>
                <w:rFonts w:hAnsi="宋体"/>
                <w:color w:val="auto"/>
                <w:sz w:val="21"/>
                <w:szCs w:val="21"/>
              </w:rPr>
            </w:pPr>
          </w:p>
        </w:tc>
        <w:tc>
          <w:tcPr>
            <w:tcW w:w="4500" w:type="dxa"/>
            <w:vAlign w:val="center"/>
          </w:tcPr>
          <w:p>
            <w:pPr>
              <w:kinsoku/>
              <w:overflowPunct/>
              <w:topLinePunct w:val="0"/>
              <w:bidi w:val="0"/>
              <w:jc w:val="both"/>
              <w:outlineLvl w:val="9"/>
              <w:rPr>
                <w:rFonts w:hAnsi="宋体"/>
                <w:color w:val="auto"/>
                <w:sz w:val="21"/>
                <w:szCs w:val="21"/>
              </w:rPr>
            </w:pPr>
            <w:r>
              <w:rPr>
                <w:rFonts w:hint="eastAsia" w:hAnsi="宋体"/>
                <w:color w:val="auto"/>
                <w:sz w:val="21"/>
                <w:szCs w:val="21"/>
                <w:lang w:eastAsia="zh-CN"/>
              </w:rPr>
              <w:t>响应有效期</w:t>
            </w:r>
            <w:r>
              <w:rPr>
                <w:rFonts w:hint="eastAsia" w:hAnsi="宋体"/>
                <w:color w:val="auto"/>
                <w:sz w:val="21"/>
                <w:szCs w:val="21"/>
              </w:rPr>
              <w:t>、服务期</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tcPr>
          <w:p>
            <w:pPr>
              <w:kinsoku/>
              <w:overflowPunct/>
              <w:topLinePunct w:val="0"/>
              <w:bidi w:val="0"/>
              <w:snapToGrid w:val="0"/>
              <w:spacing w:line="300" w:lineRule="auto"/>
              <w:outlineLvl w:val="9"/>
              <w:rPr>
                <w:rFonts w:hAnsi="宋体"/>
                <w:color w:val="auto"/>
                <w:sz w:val="21"/>
                <w:szCs w:val="21"/>
              </w:rPr>
            </w:pPr>
          </w:p>
        </w:tc>
        <w:tc>
          <w:tcPr>
            <w:tcW w:w="1440" w:type="dxa"/>
            <w:vAlign w:val="center"/>
          </w:tcPr>
          <w:p>
            <w:pPr>
              <w:kinsoku/>
              <w:overflowPunct/>
              <w:topLinePunct w:val="0"/>
              <w:bidi w:val="0"/>
              <w:ind w:left="-171"/>
              <w:jc w:val="center"/>
              <w:outlineLvl w:val="9"/>
              <w:rPr>
                <w:rFonts w:hAnsi="宋体"/>
                <w:color w:val="auto"/>
                <w:sz w:val="21"/>
                <w:szCs w:val="21"/>
              </w:rPr>
            </w:pPr>
            <w:r>
              <w:rPr>
                <w:rFonts w:hint="eastAsia" w:hAnsi="宋体"/>
                <w:color w:val="auto"/>
                <w:sz w:val="21"/>
                <w:szCs w:val="21"/>
              </w:rPr>
              <w:t>合同条款要求</w:t>
            </w:r>
          </w:p>
        </w:tc>
        <w:tc>
          <w:tcPr>
            <w:tcW w:w="4500" w:type="dxa"/>
            <w:vAlign w:val="center"/>
          </w:tcPr>
          <w:p>
            <w:pPr>
              <w:kinsoku/>
              <w:overflowPunct/>
              <w:topLinePunct w:val="0"/>
              <w:bidi w:val="0"/>
              <w:jc w:val="both"/>
              <w:outlineLvl w:val="9"/>
              <w:rPr>
                <w:rFonts w:hAnsi="宋体"/>
                <w:color w:val="auto"/>
                <w:sz w:val="21"/>
                <w:szCs w:val="21"/>
              </w:rPr>
            </w:pPr>
            <w:r>
              <w:rPr>
                <w:rFonts w:hint="eastAsia" w:hAnsi="宋体"/>
                <w:color w:val="auto"/>
                <w:sz w:val="21"/>
                <w:szCs w:val="21"/>
              </w:rPr>
              <w:t>实质性响应标书中的合同要求</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tcPr>
          <w:p>
            <w:pPr>
              <w:kinsoku/>
              <w:overflowPunct/>
              <w:topLinePunct w:val="0"/>
              <w:bidi w:val="0"/>
              <w:snapToGrid w:val="0"/>
              <w:spacing w:line="300" w:lineRule="auto"/>
              <w:outlineLvl w:val="9"/>
              <w:rPr>
                <w:rFonts w:hAnsi="宋体"/>
                <w:color w:val="auto"/>
                <w:sz w:val="21"/>
                <w:szCs w:val="21"/>
              </w:rPr>
            </w:pPr>
          </w:p>
        </w:tc>
        <w:tc>
          <w:tcPr>
            <w:tcW w:w="1440" w:type="dxa"/>
            <w:vAlign w:val="center"/>
          </w:tcPr>
          <w:p>
            <w:pPr>
              <w:kinsoku/>
              <w:overflowPunct/>
              <w:topLinePunct w:val="0"/>
              <w:bidi w:val="0"/>
              <w:jc w:val="both"/>
              <w:outlineLvl w:val="9"/>
              <w:rPr>
                <w:rFonts w:hAnsi="宋体"/>
                <w:color w:val="auto"/>
                <w:sz w:val="21"/>
                <w:szCs w:val="21"/>
              </w:rPr>
            </w:pPr>
            <w:r>
              <w:rPr>
                <w:rFonts w:hint="eastAsia" w:hAnsi="宋体"/>
                <w:color w:val="auto"/>
                <w:sz w:val="21"/>
                <w:szCs w:val="21"/>
              </w:rPr>
              <w:t>技术要求</w:t>
            </w:r>
          </w:p>
        </w:tc>
        <w:tc>
          <w:tcPr>
            <w:tcW w:w="4500" w:type="dxa"/>
            <w:vAlign w:val="center"/>
          </w:tcPr>
          <w:p>
            <w:pPr>
              <w:kinsoku/>
              <w:overflowPunct/>
              <w:topLinePunct w:val="0"/>
              <w:bidi w:val="0"/>
              <w:jc w:val="both"/>
              <w:outlineLvl w:val="9"/>
              <w:rPr>
                <w:rFonts w:hAnsi="宋体"/>
                <w:color w:val="auto"/>
                <w:sz w:val="21"/>
                <w:szCs w:val="21"/>
              </w:rPr>
            </w:pPr>
            <w:r>
              <w:rPr>
                <w:rFonts w:hint="eastAsia" w:hAnsi="宋体"/>
                <w:color w:val="auto"/>
                <w:sz w:val="21"/>
                <w:szCs w:val="21"/>
              </w:rPr>
              <w:t>实质性响应标书中的技术</w:t>
            </w:r>
            <w:r>
              <w:rPr>
                <w:rFonts w:hint="eastAsia" w:hAnsi="宋体"/>
                <w:color w:val="auto"/>
                <w:sz w:val="21"/>
                <w:szCs w:val="21"/>
                <w:lang w:eastAsia="zh-CN"/>
              </w:rPr>
              <w:t>商务</w:t>
            </w:r>
            <w:r>
              <w:rPr>
                <w:rFonts w:hint="eastAsia" w:hAnsi="宋体"/>
                <w:color w:val="auto"/>
                <w:sz w:val="21"/>
                <w:szCs w:val="21"/>
              </w:rPr>
              <w:t>要求</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rFonts w:hAnsi="宋体"/>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tcPr>
          <w:p>
            <w:pPr>
              <w:kinsoku/>
              <w:overflowPunct/>
              <w:topLinePunct w:val="0"/>
              <w:bidi w:val="0"/>
              <w:snapToGrid w:val="0"/>
              <w:spacing w:line="300" w:lineRule="auto"/>
              <w:outlineLvl w:val="9"/>
              <w:rPr>
                <w:rFonts w:hAnsi="宋体"/>
                <w:color w:val="auto"/>
                <w:sz w:val="21"/>
                <w:szCs w:val="21"/>
              </w:rPr>
            </w:pPr>
          </w:p>
        </w:tc>
        <w:tc>
          <w:tcPr>
            <w:tcW w:w="1440" w:type="dxa"/>
            <w:vAlign w:val="center"/>
          </w:tcPr>
          <w:p>
            <w:pPr>
              <w:kinsoku/>
              <w:overflowPunct/>
              <w:topLinePunct w:val="0"/>
              <w:bidi w:val="0"/>
              <w:ind w:left="-171"/>
              <w:jc w:val="center"/>
              <w:outlineLvl w:val="9"/>
              <w:rPr>
                <w:rFonts w:hAnsi="宋体"/>
                <w:color w:val="auto"/>
                <w:sz w:val="21"/>
                <w:szCs w:val="21"/>
              </w:rPr>
            </w:pPr>
            <w:r>
              <w:rPr>
                <w:rFonts w:hint="eastAsia" w:hAnsi="宋体"/>
                <w:color w:val="auto"/>
                <w:sz w:val="21"/>
                <w:szCs w:val="21"/>
              </w:rPr>
              <w:t>报价要求</w:t>
            </w:r>
          </w:p>
        </w:tc>
        <w:tc>
          <w:tcPr>
            <w:tcW w:w="4500" w:type="dxa"/>
            <w:vAlign w:val="center"/>
          </w:tcPr>
          <w:p>
            <w:pPr>
              <w:tabs>
                <w:tab w:val="left" w:pos="2880"/>
              </w:tabs>
              <w:kinsoku/>
              <w:overflowPunct/>
              <w:topLinePunct w:val="0"/>
              <w:bidi w:val="0"/>
              <w:ind w:left="46" w:leftChars="19"/>
              <w:jc w:val="both"/>
              <w:outlineLvl w:val="9"/>
              <w:rPr>
                <w:rFonts w:hAnsi="宋体"/>
                <w:color w:val="auto"/>
                <w:sz w:val="21"/>
                <w:szCs w:val="21"/>
              </w:rPr>
            </w:pPr>
            <w:r>
              <w:rPr>
                <w:rFonts w:hint="eastAsia" w:hAnsi="宋体"/>
                <w:color w:val="auto"/>
                <w:sz w:val="21"/>
                <w:szCs w:val="21"/>
              </w:rPr>
              <w:t>报价方案是唯一确定</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jc w:val="both"/>
              <w:outlineLvl w:val="9"/>
              <w:rPr>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Merge w:val="continue"/>
          </w:tcPr>
          <w:p>
            <w:pPr>
              <w:kinsoku/>
              <w:overflowPunct/>
              <w:topLinePunct w:val="0"/>
              <w:bidi w:val="0"/>
              <w:snapToGrid w:val="0"/>
              <w:spacing w:line="300" w:lineRule="auto"/>
              <w:outlineLvl w:val="9"/>
              <w:rPr>
                <w:rFonts w:hAnsi="宋体"/>
                <w:color w:val="auto"/>
                <w:sz w:val="21"/>
                <w:szCs w:val="21"/>
              </w:rPr>
            </w:pPr>
          </w:p>
        </w:tc>
        <w:tc>
          <w:tcPr>
            <w:tcW w:w="1440" w:type="dxa"/>
            <w:vAlign w:val="center"/>
          </w:tcPr>
          <w:p>
            <w:pPr>
              <w:kinsoku/>
              <w:overflowPunct/>
              <w:topLinePunct w:val="0"/>
              <w:bidi w:val="0"/>
              <w:ind w:left="-171"/>
              <w:jc w:val="center"/>
              <w:outlineLvl w:val="9"/>
              <w:rPr>
                <w:rFonts w:hAnsi="宋体"/>
                <w:color w:val="auto"/>
                <w:sz w:val="21"/>
                <w:szCs w:val="21"/>
              </w:rPr>
            </w:pPr>
            <w:r>
              <w:rPr>
                <w:rFonts w:hint="eastAsia" w:hAnsi="宋体"/>
                <w:color w:val="auto"/>
                <w:sz w:val="21"/>
                <w:szCs w:val="21"/>
              </w:rPr>
              <w:t>其它</w:t>
            </w:r>
          </w:p>
        </w:tc>
        <w:tc>
          <w:tcPr>
            <w:tcW w:w="4500" w:type="dxa"/>
            <w:vAlign w:val="center"/>
          </w:tcPr>
          <w:p>
            <w:pPr>
              <w:tabs>
                <w:tab w:val="left" w:pos="2880"/>
              </w:tabs>
              <w:kinsoku/>
              <w:overflowPunct/>
              <w:topLinePunct w:val="0"/>
              <w:bidi w:val="0"/>
              <w:ind w:left="46" w:leftChars="19"/>
              <w:jc w:val="both"/>
              <w:outlineLvl w:val="9"/>
              <w:rPr>
                <w:rFonts w:hAnsi="宋体"/>
                <w:color w:val="auto"/>
                <w:sz w:val="21"/>
                <w:szCs w:val="21"/>
              </w:rPr>
            </w:pPr>
            <w:r>
              <w:rPr>
                <w:rFonts w:hint="eastAsia" w:hAnsi="宋体"/>
                <w:color w:val="auto"/>
                <w:sz w:val="21"/>
                <w:szCs w:val="21"/>
              </w:rPr>
              <w:t>实质性响应谈判文件中规定的其它情况</w:t>
            </w:r>
          </w:p>
        </w:tc>
        <w:tc>
          <w:tcPr>
            <w:tcW w:w="1404" w:type="dxa"/>
            <w:vAlign w:val="center"/>
          </w:tcPr>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□通过</w:t>
            </w:r>
          </w:p>
          <w:p>
            <w:pPr>
              <w:kinsoku/>
              <w:overflowPunct/>
              <w:topLinePunct w:val="0"/>
              <w:bidi w:val="0"/>
              <w:ind w:left="282" w:leftChars="59" w:hanging="140" w:hangingChars="67"/>
              <w:jc w:val="both"/>
              <w:outlineLvl w:val="9"/>
              <w:rPr>
                <w:rFonts w:hAnsi="宋体"/>
                <w:color w:val="auto"/>
                <w:sz w:val="21"/>
                <w:szCs w:val="21"/>
              </w:rPr>
            </w:pPr>
            <w:r>
              <w:rPr>
                <w:rFonts w:hint="eastAsia" w:hAnsi="宋体"/>
                <w:color w:val="auto"/>
                <w:sz w:val="21"/>
                <w:szCs w:val="21"/>
              </w:rPr>
              <w:t>□不通过</w:t>
            </w:r>
          </w:p>
        </w:tc>
        <w:tc>
          <w:tcPr>
            <w:tcW w:w="1859" w:type="dxa"/>
            <w:vAlign w:val="center"/>
          </w:tcPr>
          <w:p>
            <w:pPr>
              <w:kinsoku/>
              <w:overflowPunct/>
              <w:topLinePunct w:val="0"/>
              <w:bidi w:val="0"/>
              <w:ind w:left="-171" w:firstLine="180" w:firstLineChars="100"/>
              <w:jc w:val="both"/>
              <w:outlineLvl w:val="9"/>
              <w:rPr>
                <w:rFonts w:hAnsi="宋体"/>
                <w:color w:val="auto"/>
                <w:sz w:val="18"/>
                <w:szCs w:val="18"/>
              </w:rPr>
            </w:pPr>
            <w:r>
              <w:rPr>
                <w:rFonts w:hint="eastAsia" w:hAnsi="宋体"/>
                <w:color w:val="auto"/>
                <w:sz w:val="18"/>
                <w:szCs w:val="18"/>
              </w:rPr>
              <w:t>见</w:t>
            </w:r>
            <w:r>
              <w:rPr>
                <w:rFonts w:hint="eastAsia" w:hAnsi="宋体"/>
                <w:color w:val="auto"/>
                <w:sz w:val="18"/>
                <w:szCs w:val="18"/>
                <w:lang w:eastAsia="zh-CN"/>
              </w:rPr>
              <w:t>响应文件</w:t>
            </w:r>
            <w:r>
              <w:rPr>
                <w:rFonts w:hint="eastAsia" w:hAnsi="宋体"/>
                <w:color w:val="auto"/>
                <w:sz w:val="18"/>
                <w:szCs w:val="18"/>
              </w:rPr>
              <w:t>第（）页</w:t>
            </w:r>
          </w:p>
        </w:tc>
      </w:tr>
    </w:tbl>
    <w:p>
      <w:pPr>
        <w:kinsoku/>
        <w:overflowPunct/>
        <w:topLinePunct w:val="0"/>
        <w:bidi w:val="0"/>
        <w:snapToGrid w:val="0"/>
        <w:spacing w:line="440" w:lineRule="exact"/>
        <w:ind w:firstLine="420" w:firstLineChars="200"/>
        <w:outlineLvl w:val="9"/>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注：以上材料将作为</w:t>
      </w:r>
      <w:r>
        <w:rPr>
          <w:rFonts w:hint="eastAsia" w:hAnsi="宋体" w:cs="Times New Roman"/>
          <w:color w:val="auto"/>
          <w:sz w:val="21"/>
          <w:szCs w:val="21"/>
          <w:lang w:eastAsia="zh-CN"/>
        </w:rPr>
        <w:t>响应供应商</w:t>
      </w:r>
      <w:r>
        <w:rPr>
          <w:rFonts w:hint="eastAsia" w:ascii="宋体" w:hAnsi="宋体" w:eastAsia="宋体" w:cs="Times New Roman"/>
          <w:color w:val="auto"/>
          <w:sz w:val="21"/>
          <w:szCs w:val="21"/>
          <w:lang w:eastAsia="zh-CN"/>
        </w:rPr>
        <w:t>合格性和有效性审核的重要内容之一，</w:t>
      </w:r>
      <w:r>
        <w:rPr>
          <w:rFonts w:hint="eastAsia" w:hAnsi="宋体" w:cs="Times New Roman"/>
          <w:color w:val="auto"/>
          <w:sz w:val="21"/>
          <w:szCs w:val="21"/>
          <w:lang w:eastAsia="zh-CN"/>
        </w:rPr>
        <w:t>响应供应商</w:t>
      </w:r>
      <w:r>
        <w:rPr>
          <w:rFonts w:hint="eastAsia" w:ascii="宋体" w:hAnsi="宋体" w:eastAsia="宋体" w:cs="Times New Roman"/>
          <w:color w:val="auto"/>
          <w:sz w:val="21"/>
          <w:szCs w:val="21"/>
          <w:lang w:eastAsia="zh-CN"/>
        </w:rPr>
        <w:t>必须严格按照其内容及序列要求在</w:t>
      </w:r>
      <w:r>
        <w:rPr>
          <w:rFonts w:hint="eastAsia" w:hAnsi="宋体" w:cs="Times New Roman"/>
          <w:color w:val="auto"/>
          <w:sz w:val="21"/>
          <w:szCs w:val="21"/>
          <w:lang w:eastAsia="zh-CN"/>
        </w:rPr>
        <w:t>响应文件</w:t>
      </w:r>
      <w:r>
        <w:rPr>
          <w:rFonts w:hint="eastAsia" w:ascii="宋体" w:hAnsi="宋体" w:eastAsia="宋体" w:cs="Times New Roman"/>
          <w:color w:val="auto"/>
          <w:sz w:val="21"/>
          <w:szCs w:val="21"/>
          <w:lang w:eastAsia="zh-CN"/>
        </w:rPr>
        <w:t>中对应如实提供，对缺漏和不符合项将会直接导致无效报价！在对应的□打“√”。</w:t>
      </w:r>
    </w:p>
    <w:p>
      <w:pPr>
        <w:kinsoku/>
        <w:overflowPunct/>
        <w:topLinePunct w:val="0"/>
        <w:bidi w:val="0"/>
        <w:snapToGrid w:val="0"/>
        <w:spacing w:line="300" w:lineRule="auto"/>
        <w:outlineLvl w:val="9"/>
        <w:rPr>
          <w:rFonts w:hAnsi="宋体"/>
          <w:color w:val="auto"/>
          <w:sz w:val="21"/>
          <w:szCs w:val="21"/>
        </w:rPr>
      </w:pPr>
    </w:p>
    <w:p>
      <w:pPr>
        <w:kinsoku/>
        <w:overflowPunct/>
        <w:topLinePunct w:val="0"/>
        <w:bidi w:val="0"/>
        <w:snapToGrid w:val="0"/>
        <w:spacing w:line="440" w:lineRule="exact"/>
        <w:outlineLvl w:val="9"/>
        <w:rPr>
          <w:rFonts w:hint="eastAsia" w:hAnsi="宋体"/>
          <w:color w:val="auto"/>
          <w:sz w:val="24"/>
          <w:szCs w:val="24"/>
          <w:lang w:eastAsia="zh-CN"/>
        </w:rPr>
      </w:pPr>
      <w:bookmarkStart w:id="53" w:name="_Toc382926902"/>
      <w:bookmarkStart w:id="54" w:name="_Toc382840850"/>
    </w:p>
    <w:p>
      <w:pPr>
        <w:kinsoku/>
        <w:overflowPunct/>
        <w:topLinePunct w:val="0"/>
        <w:bidi w:val="0"/>
        <w:snapToGrid w:val="0"/>
        <w:spacing w:line="440" w:lineRule="exact"/>
        <w:outlineLvl w:val="9"/>
        <w:rPr>
          <w:rFonts w:hAnsi="宋体"/>
          <w:color w:val="auto"/>
          <w:sz w:val="24"/>
          <w:szCs w:val="24"/>
        </w:rPr>
      </w:pPr>
      <w:r>
        <w:rPr>
          <w:rFonts w:hint="eastAsia" w:hAnsi="宋体"/>
          <w:color w:val="auto"/>
          <w:sz w:val="24"/>
          <w:szCs w:val="24"/>
          <w:lang w:eastAsia="zh-CN"/>
        </w:rPr>
        <w:t>响应供应商</w:t>
      </w:r>
      <w:r>
        <w:rPr>
          <w:rFonts w:hint="eastAsia" w:hAnsi="宋体"/>
          <w:color w:val="auto"/>
          <w:sz w:val="24"/>
          <w:szCs w:val="24"/>
        </w:rPr>
        <w:t>法定代表人（或法定代表人授权代表）签</w:t>
      </w:r>
      <w:r>
        <w:rPr>
          <w:rFonts w:hint="eastAsia" w:hAnsi="宋体"/>
          <w:color w:val="auto"/>
          <w:sz w:val="24"/>
          <w:szCs w:val="24"/>
          <w:lang w:eastAsia="zh-CN"/>
        </w:rPr>
        <w:t>名（签章）</w:t>
      </w:r>
      <w:r>
        <w:rPr>
          <w:rFonts w:hint="eastAsia" w:hAnsi="宋体"/>
          <w:color w:val="auto"/>
          <w:sz w:val="24"/>
          <w:szCs w:val="24"/>
        </w:rPr>
        <w:t>：</w:t>
      </w:r>
    </w:p>
    <w:p>
      <w:pPr>
        <w:kinsoku/>
        <w:overflowPunct/>
        <w:topLinePunct w:val="0"/>
        <w:bidi w:val="0"/>
        <w:snapToGrid w:val="0"/>
        <w:spacing w:line="440" w:lineRule="exact"/>
        <w:outlineLvl w:val="9"/>
        <w:rPr>
          <w:rFonts w:hAnsi="宋体"/>
          <w:color w:val="auto"/>
          <w:sz w:val="24"/>
          <w:szCs w:val="24"/>
          <w:u w:val="single"/>
        </w:rPr>
      </w:pPr>
      <w:r>
        <w:rPr>
          <w:rFonts w:hint="eastAsia" w:hAnsi="宋体"/>
          <w:color w:val="auto"/>
          <w:sz w:val="24"/>
          <w:szCs w:val="24"/>
          <w:lang w:eastAsia="zh-CN"/>
        </w:rPr>
        <w:t>响应供应商</w:t>
      </w:r>
      <w:r>
        <w:rPr>
          <w:rFonts w:hint="eastAsia" w:hAnsi="宋体"/>
          <w:color w:val="auto"/>
          <w:sz w:val="24"/>
          <w:szCs w:val="24"/>
        </w:rPr>
        <w:t>名称（加盖法人公章）：</w:t>
      </w:r>
    </w:p>
    <w:p>
      <w:pPr>
        <w:kinsoku/>
        <w:overflowPunct/>
        <w:topLinePunct w:val="0"/>
        <w:bidi w:val="0"/>
        <w:snapToGrid w:val="0"/>
        <w:spacing w:line="440" w:lineRule="exact"/>
        <w:outlineLvl w:val="9"/>
        <w:rPr>
          <w:rFonts w:hAnsi="宋体"/>
          <w:color w:val="auto"/>
          <w:sz w:val="24"/>
          <w:szCs w:val="24"/>
        </w:rPr>
      </w:pPr>
      <w:r>
        <w:rPr>
          <w:rFonts w:hint="eastAsia" w:hAnsi="宋体"/>
          <w:color w:val="auto"/>
          <w:sz w:val="24"/>
          <w:szCs w:val="24"/>
        </w:rPr>
        <w:t>日期：</w:t>
      </w:r>
      <w:r>
        <w:rPr>
          <w:rFonts w:hint="eastAsia" w:hAnsi="宋体"/>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w:t>
      </w:r>
    </w:p>
    <w:p>
      <w:pPr>
        <w:pStyle w:val="15"/>
        <w:kinsoku/>
        <w:overflowPunct/>
        <w:topLinePunct w:val="0"/>
        <w:bidi w:val="0"/>
        <w:outlineLvl w:val="9"/>
        <w:rPr>
          <w:color w:val="auto"/>
        </w:rPr>
      </w:pPr>
    </w:p>
    <w:p>
      <w:pPr>
        <w:rPr>
          <w:color w:val="auto"/>
        </w:rPr>
      </w:pPr>
    </w:p>
    <w:p>
      <w:pPr>
        <w:pStyle w:val="3"/>
        <w:rPr>
          <w:color w:val="auto"/>
        </w:rPr>
      </w:pPr>
    </w:p>
    <w:p>
      <w:pPr>
        <w:kinsoku/>
        <w:overflowPunct/>
        <w:topLinePunct w:val="0"/>
        <w:bidi w:val="0"/>
        <w:spacing w:after="120" w:line="480" w:lineRule="exact"/>
        <w:jc w:val="center"/>
        <w:outlineLvl w:val="9"/>
        <w:rPr>
          <w:rFonts w:hAnsi="宋体"/>
          <w:b/>
          <w:color w:val="auto"/>
          <w:sz w:val="21"/>
          <w:szCs w:val="20"/>
        </w:rPr>
      </w:pPr>
      <w:r>
        <w:rPr>
          <w:rFonts w:hint="eastAsia" w:hAnsi="宋体"/>
          <w:b/>
          <w:bCs w:val="0"/>
          <w:color w:val="auto"/>
          <w:sz w:val="28"/>
          <w:szCs w:val="28"/>
        </w:rPr>
        <w:t>第二节 商务文件</w:t>
      </w:r>
      <w:bookmarkEnd w:id="53"/>
      <w:bookmarkEnd w:id="54"/>
    </w:p>
    <w:p>
      <w:pPr>
        <w:kinsoku/>
        <w:overflowPunct/>
        <w:topLinePunct w:val="0"/>
        <w:bidi w:val="0"/>
        <w:spacing w:before="120" w:after="120"/>
        <w:jc w:val="both"/>
        <w:outlineLvl w:val="9"/>
        <w:rPr>
          <w:rFonts w:hAnsi="宋体"/>
          <w:b/>
          <w:color w:val="auto"/>
          <w:sz w:val="21"/>
          <w:szCs w:val="20"/>
        </w:rPr>
      </w:pPr>
      <w:bookmarkStart w:id="55" w:name="_Hlt10519541"/>
      <w:bookmarkEnd w:id="55"/>
      <w:bookmarkStart w:id="56" w:name="_Toc382926904"/>
      <w:bookmarkStart w:id="57" w:name="_Toc382840852"/>
      <w:bookmarkStart w:id="58" w:name="_Hlt10456257"/>
      <w:r>
        <w:rPr>
          <w:rFonts w:hint="eastAsia" w:hAnsi="宋体"/>
          <w:b/>
          <w:color w:val="auto"/>
          <w:sz w:val="21"/>
          <w:szCs w:val="20"/>
        </w:rPr>
        <w:t>附表2.1 报价函格式</w:t>
      </w:r>
      <w:bookmarkEnd w:id="56"/>
      <w:bookmarkEnd w:id="57"/>
      <w:bookmarkEnd w:id="58"/>
    </w:p>
    <w:p>
      <w:pPr>
        <w:kinsoku/>
        <w:overflowPunct/>
        <w:topLinePunct w:val="0"/>
        <w:bidi w:val="0"/>
        <w:spacing w:line="480" w:lineRule="exact"/>
        <w:jc w:val="center"/>
        <w:outlineLvl w:val="9"/>
        <w:rPr>
          <w:rFonts w:hAnsi="宋体"/>
          <w:b/>
          <w:color w:val="auto"/>
          <w:sz w:val="32"/>
          <w:szCs w:val="32"/>
        </w:rPr>
      </w:pPr>
      <w:r>
        <w:rPr>
          <w:rFonts w:hint="eastAsia" w:hAnsi="宋体"/>
          <w:b/>
          <w:color w:val="auto"/>
          <w:sz w:val="32"/>
          <w:szCs w:val="32"/>
        </w:rPr>
        <w:t>报 价 函</w:t>
      </w:r>
    </w:p>
    <w:p>
      <w:pPr>
        <w:kinsoku/>
        <w:overflowPunct/>
        <w:topLinePunct w:val="0"/>
        <w:bidi w:val="0"/>
        <w:spacing w:line="380" w:lineRule="exact"/>
        <w:outlineLvl w:val="9"/>
        <w:rPr>
          <w:rFonts w:hAnsi="宋体"/>
          <w:b/>
          <w:color w:val="auto"/>
          <w:sz w:val="21"/>
          <w:szCs w:val="21"/>
        </w:rPr>
      </w:pPr>
      <w:r>
        <w:rPr>
          <w:rFonts w:hint="eastAsia" w:hAnsi="宋体"/>
          <w:b/>
          <w:color w:val="auto"/>
          <w:sz w:val="21"/>
          <w:szCs w:val="21"/>
        </w:rPr>
        <w:t>致：</w:t>
      </w:r>
      <w:r>
        <w:rPr>
          <w:rFonts w:hint="eastAsia" w:hAnsi="宋体"/>
          <w:b/>
          <w:color w:val="auto"/>
          <w:sz w:val="21"/>
          <w:szCs w:val="21"/>
          <w:u w:val="single"/>
          <w:lang w:eastAsia="zh-CN"/>
        </w:rPr>
        <w:t>南方医科大学第七附属医院</w:t>
      </w:r>
      <w:r>
        <w:rPr>
          <w:rFonts w:hint="eastAsia" w:hAnsi="宋体"/>
          <w:b/>
          <w:color w:val="auto"/>
          <w:sz w:val="21"/>
          <w:szCs w:val="21"/>
          <w:u w:val="single"/>
        </w:rPr>
        <w:t xml:space="preserve">/（广东远东招标代理有限公司）  </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rPr>
      </w:pPr>
      <w:r>
        <w:rPr>
          <w:rFonts w:hint="eastAsia" w:hAnsi="宋体"/>
          <w:color w:val="auto"/>
          <w:kern w:val="2"/>
          <w:sz w:val="21"/>
          <w:szCs w:val="21"/>
          <w:lang w:val="zh-CN"/>
        </w:rPr>
        <w:t>根据贵方“</w:t>
      </w:r>
      <w:r>
        <w:rPr>
          <w:rFonts w:hint="eastAsia" w:hAnsi="宋体"/>
          <w:color w:val="auto"/>
          <w:kern w:val="2"/>
          <w:sz w:val="21"/>
          <w:szCs w:val="21"/>
          <w:lang w:eastAsia="zh-CN"/>
        </w:rPr>
        <w:t>洗衣房洗涤用品采购项目（第二次）</w:t>
      </w:r>
      <w:r>
        <w:rPr>
          <w:rFonts w:hAnsi="宋体"/>
          <w:color w:val="auto"/>
          <w:kern w:val="2"/>
          <w:sz w:val="21"/>
          <w:szCs w:val="21"/>
          <w:lang w:val="zh-CN"/>
        </w:rPr>
        <w:t>”</w:t>
      </w:r>
      <w:r>
        <w:rPr>
          <w:rFonts w:hint="eastAsia" w:hAnsi="宋体"/>
          <w:color w:val="auto"/>
          <w:sz w:val="21"/>
          <w:szCs w:val="32"/>
        </w:rPr>
        <w:t>(</w:t>
      </w:r>
      <w:r>
        <w:rPr>
          <w:rFonts w:hint="eastAsia" w:hAnsi="宋体"/>
          <w:color w:val="auto"/>
          <w:kern w:val="2"/>
          <w:sz w:val="21"/>
          <w:szCs w:val="21"/>
          <w:lang w:val="zh-CN"/>
        </w:rPr>
        <w:t>项目编号：NFQYCG2023002)的谈判邀请，我方</w:t>
      </w:r>
      <w:r>
        <w:rPr>
          <w:rFonts w:hint="eastAsia" w:hAnsi="宋体"/>
          <w:color w:val="auto"/>
          <w:kern w:val="2"/>
          <w:sz w:val="21"/>
          <w:szCs w:val="21"/>
          <w:u w:val="single"/>
          <w:lang w:val="zh-CN"/>
        </w:rPr>
        <w:t xml:space="preserve">     （响应供应商名称）</w:t>
      </w:r>
      <w:r>
        <w:rPr>
          <w:rFonts w:hint="eastAsia" w:hAnsi="宋体"/>
          <w:color w:val="auto"/>
          <w:kern w:val="2"/>
          <w:sz w:val="21"/>
          <w:szCs w:val="21"/>
          <w:lang w:val="zh-CN"/>
        </w:rPr>
        <w:t>作为响应供应商正式授权</w:t>
      </w:r>
      <w:r>
        <w:rPr>
          <w:rFonts w:hint="eastAsia" w:hAnsi="宋体"/>
          <w:color w:val="auto"/>
          <w:kern w:val="2"/>
          <w:sz w:val="21"/>
          <w:szCs w:val="21"/>
          <w:u w:val="single"/>
          <w:lang w:val="zh-CN"/>
        </w:rPr>
        <w:t>　　（</w:t>
      </w:r>
      <w:r>
        <w:rPr>
          <w:rFonts w:hint="eastAsia" w:hAnsi="宋体"/>
          <w:color w:val="auto"/>
          <w:kern w:val="2"/>
          <w:sz w:val="21"/>
          <w:szCs w:val="21"/>
          <w:lang w:val="zh-CN"/>
        </w:rPr>
        <w:t>授权代表全名，职务）代表我方进行有关本次报价的一切事宜。</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在此提交的响应文件，已按谈判文件的要求密封封装。包括但不限于如下内容：</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（1）唱标信封【一份】（按谈判文件要求的内容编制）；</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（2）响应文件【含自检表、经济文件和商务技术文件，正本</w:t>
      </w:r>
      <w:r>
        <w:rPr>
          <w:rFonts w:hint="eastAsia" w:hAnsi="宋体"/>
          <w:color w:val="auto"/>
          <w:kern w:val="2"/>
          <w:sz w:val="21"/>
          <w:szCs w:val="21"/>
          <w:u w:val="single"/>
          <w:lang w:val="zh-CN"/>
        </w:rPr>
        <w:t xml:space="preserve">  </w:t>
      </w:r>
      <w:r>
        <w:rPr>
          <w:rFonts w:hint="eastAsia" w:hAnsi="宋体"/>
          <w:color w:val="auto"/>
          <w:kern w:val="2"/>
          <w:sz w:val="21"/>
          <w:szCs w:val="21"/>
          <w:lang w:val="zh-CN"/>
        </w:rPr>
        <w:t>份，副本</w:t>
      </w:r>
      <w:r>
        <w:rPr>
          <w:rFonts w:hint="eastAsia" w:hAnsi="宋体"/>
          <w:color w:val="auto"/>
          <w:kern w:val="2"/>
          <w:sz w:val="21"/>
          <w:szCs w:val="21"/>
          <w:u w:val="single"/>
          <w:lang w:val="zh-CN"/>
        </w:rPr>
        <w:t xml:space="preserve">   </w:t>
      </w:r>
      <w:r>
        <w:rPr>
          <w:rFonts w:hint="eastAsia" w:hAnsi="宋体"/>
          <w:color w:val="auto"/>
          <w:kern w:val="2"/>
          <w:sz w:val="21"/>
          <w:szCs w:val="21"/>
          <w:lang w:val="zh-CN"/>
        </w:rPr>
        <w:t>份】；</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（3）电子文件【</w:t>
      </w:r>
      <w:r>
        <w:rPr>
          <w:rFonts w:hint="eastAsia" w:hAnsi="宋体"/>
          <w:color w:val="auto"/>
          <w:kern w:val="2"/>
          <w:sz w:val="21"/>
          <w:szCs w:val="21"/>
          <w:u w:val="single"/>
          <w:lang w:val="zh-CN"/>
        </w:rPr>
        <w:t xml:space="preserve">   </w:t>
      </w:r>
      <w:r>
        <w:rPr>
          <w:rFonts w:hint="eastAsia" w:hAnsi="宋体"/>
          <w:color w:val="auto"/>
          <w:kern w:val="2"/>
          <w:sz w:val="21"/>
          <w:szCs w:val="21"/>
          <w:lang w:val="zh-CN"/>
        </w:rPr>
        <w:t>份】；</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我方己完全明白谈判文件的所有条款要求，并重申以下几点：</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w:t>
      </w:r>
      <w:r>
        <w:rPr>
          <w:rFonts w:hAnsi="宋体"/>
          <w:color w:val="auto"/>
          <w:kern w:val="2"/>
          <w:sz w:val="21"/>
          <w:szCs w:val="21"/>
          <w:lang w:val="zh-CN"/>
        </w:rPr>
        <w:t>—</w:t>
      </w:r>
      <w:r>
        <w:rPr>
          <w:rFonts w:hint="eastAsia" w:hAnsi="宋体"/>
          <w:color w:val="auto"/>
          <w:kern w:val="2"/>
          <w:sz w:val="21"/>
          <w:szCs w:val="21"/>
          <w:lang w:val="zh-CN"/>
        </w:rPr>
        <w:t>）我方决定参加项目编号为</w:t>
      </w:r>
      <w:r>
        <w:rPr>
          <w:rFonts w:hint="eastAsia" w:hAnsi="宋体"/>
          <w:color w:val="auto"/>
          <w:kern w:val="2"/>
          <w:sz w:val="21"/>
          <w:szCs w:val="21"/>
          <w:u w:val="single"/>
          <w:lang w:val="zh-CN"/>
        </w:rPr>
        <w:t xml:space="preserve">NFQYCG2023002 </w:t>
      </w:r>
      <w:r>
        <w:rPr>
          <w:rFonts w:hint="eastAsia" w:hAnsi="宋体"/>
          <w:color w:val="auto"/>
          <w:kern w:val="2"/>
          <w:sz w:val="21"/>
          <w:szCs w:val="21"/>
          <w:lang w:val="zh-CN"/>
        </w:rPr>
        <w:t>项目的报价；</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（二）本项目的报价（详见报价表）；</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（三）本响应文件的有效期自递交响应文件截止日后</w:t>
      </w:r>
      <w:r>
        <w:rPr>
          <w:rFonts w:hint="eastAsia" w:hAnsi="宋体"/>
          <w:color w:val="auto"/>
          <w:kern w:val="2"/>
          <w:sz w:val="21"/>
          <w:szCs w:val="21"/>
          <w:u w:val="single"/>
          <w:lang w:val="zh-CN"/>
        </w:rPr>
        <w:t xml:space="preserve">    </w:t>
      </w:r>
      <w:r>
        <w:rPr>
          <w:rFonts w:hint="eastAsia" w:hAnsi="宋体"/>
          <w:color w:val="auto"/>
          <w:kern w:val="2"/>
          <w:sz w:val="21"/>
          <w:szCs w:val="21"/>
          <w:lang w:val="zh-CN"/>
        </w:rPr>
        <w:t>天有效，如成交，有效期将延至合同终止日为止；</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（四）我方已详细</w:t>
      </w:r>
      <w:r>
        <w:rPr>
          <w:rFonts w:hint="eastAsia" w:hAnsi="宋体"/>
          <w:color w:val="auto"/>
          <w:sz w:val="21"/>
          <w:szCs w:val="21"/>
        </w:rPr>
        <w:t>阅读并</w:t>
      </w:r>
      <w:r>
        <w:rPr>
          <w:rFonts w:hint="eastAsia" w:hAnsi="宋体"/>
          <w:color w:val="auto"/>
          <w:kern w:val="2"/>
          <w:sz w:val="21"/>
          <w:szCs w:val="21"/>
          <w:lang w:val="zh-CN"/>
        </w:rPr>
        <w:t>研究了谈判文件的所有内容包括修正文、</w:t>
      </w:r>
      <w:r>
        <w:rPr>
          <w:rFonts w:hint="eastAsia" w:hAnsi="宋体"/>
          <w:color w:val="auto"/>
          <w:sz w:val="21"/>
          <w:szCs w:val="21"/>
        </w:rPr>
        <w:t>答疑纪要、澄清补充通知</w:t>
      </w:r>
      <w:r>
        <w:rPr>
          <w:rFonts w:hint="eastAsia" w:hAnsi="宋体"/>
          <w:color w:val="auto"/>
          <w:kern w:val="2"/>
          <w:sz w:val="21"/>
          <w:szCs w:val="21"/>
          <w:lang w:val="zh-CN"/>
        </w:rPr>
        <w:t>（如有）和所有已提供的参考资料以及有关附件，</w:t>
      </w:r>
      <w:r>
        <w:rPr>
          <w:rFonts w:hint="eastAsia" w:hAnsi="宋体"/>
          <w:color w:val="auto"/>
          <w:sz w:val="21"/>
          <w:szCs w:val="21"/>
        </w:rPr>
        <w:t>我们完全清晰理解谈判文件的要求，不存在任何含糊不清和误解之处，</w:t>
      </w:r>
      <w:r>
        <w:rPr>
          <w:rFonts w:hint="eastAsia" w:hAnsi="宋体"/>
          <w:color w:val="auto"/>
          <w:kern w:val="2"/>
          <w:sz w:val="21"/>
          <w:szCs w:val="21"/>
          <w:lang w:val="zh-CN"/>
        </w:rPr>
        <w:t>我方</w:t>
      </w:r>
      <w:r>
        <w:rPr>
          <w:rFonts w:hint="eastAsia" w:hAnsi="宋体"/>
          <w:color w:val="auto"/>
          <w:sz w:val="21"/>
          <w:szCs w:val="21"/>
        </w:rPr>
        <w:t>同意</w:t>
      </w:r>
      <w:r>
        <w:rPr>
          <w:rFonts w:hint="eastAsia" w:hAnsi="宋体"/>
          <w:color w:val="auto"/>
          <w:kern w:val="2"/>
          <w:sz w:val="21"/>
          <w:szCs w:val="21"/>
          <w:lang w:val="zh-CN"/>
        </w:rPr>
        <w:t>放弃在此方面提出含糊意见或误解的一切权力；</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（五）我方明白并愿意在规定的递交响应文件截止时间和日期之后，响应有效期之内撤回报价，则响应保证金将被贵方没收；</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（六）我方同意按照贵方可能提出的要求而提供与报价有关的任何其它数据或信息；</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（七）我方完全服从和尊重谈判小组所作的评定结果，我方理解贵方不一定接受最低报价或任何贵方可能收到的报价；</w:t>
      </w:r>
    </w:p>
    <w:p>
      <w:pPr>
        <w:keepNext w:val="0"/>
        <w:keepLines w:val="0"/>
        <w:pageBreakBefore w:val="0"/>
        <w:widowControl w:val="0"/>
        <w:kinsoku/>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u w:val="single"/>
          <w:lang w:val="zh-CN"/>
        </w:rPr>
      </w:pPr>
      <w:r>
        <w:rPr>
          <w:rFonts w:hint="eastAsia" w:hAnsi="宋体"/>
          <w:color w:val="auto"/>
          <w:kern w:val="2"/>
          <w:sz w:val="21"/>
          <w:szCs w:val="21"/>
          <w:lang w:val="zh-CN"/>
        </w:rPr>
        <w:t>（八）我方如果成交，将保证履行谈判文件以及</w:t>
      </w:r>
      <w:r>
        <w:rPr>
          <w:rFonts w:hint="eastAsia" w:hAnsi="宋体"/>
          <w:color w:val="auto"/>
          <w:sz w:val="21"/>
          <w:szCs w:val="21"/>
        </w:rPr>
        <w:t>答疑纪要、澄清补充通知等</w:t>
      </w:r>
      <w:r>
        <w:rPr>
          <w:rFonts w:hint="eastAsia" w:hAnsi="宋体"/>
          <w:color w:val="auto"/>
          <w:kern w:val="2"/>
          <w:sz w:val="21"/>
          <w:szCs w:val="21"/>
          <w:lang w:val="zh-CN"/>
        </w:rPr>
        <w:t>谈判文件修改书（如有）中的全部责任和义务，按质、按量、按期完成《合同书》中的全部任</w:t>
      </w:r>
      <w:r>
        <w:rPr>
          <w:rFonts w:hint="eastAsia" w:hAnsi="宋体"/>
          <w:color w:val="auto"/>
          <w:sz w:val="21"/>
          <w:szCs w:val="21"/>
        </w:rPr>
        <w:t>务</w:t>
      </w:r>
      <w:r>
        <w:rPr>
          <w:rFonts w:hint="eastAsia" w:hAnsi="宋体"/>
          <w:b/>
          <w:color w:val="auto"/>
          <w:kern w:val="2"/>
          <w:sz w:val="21"/>
          <w:szCs w:val="21"/>
          <w:lang w:val="zh-CN"/>
        </w:rPr>
        <w:t>。</w:t>
      </w:r>
      <w:r>
        <w:rPr>
          <w:rFonts w:hint="eastAsia" w:hAnsi="宋体"/>
          <w:color w:val="auto"/>
          <w:kern w:val="2"/>
          <w:sz w:val="21"/>
          <w:szCs w:val="21"/>
          <w:lang w:val="zh-CN"/>
        </w:rPr>
        <w:t>其中交货时间为：</w:t>
      </w:r>
      <w:r>
        <w:rPr>
          <w:rFonts w:hint="eastAsia" w:hAnsi="宋体"/>
          <w:color w:val="auto"/>
          <w:kern w:val="2"/>
          <w:sz w:val="21"/>
          <w:szCs w:val="21"/>
          <w:u w:val="single"/>
          <w:lang w:val="zh-CN"/>
        </w:rPr>
        <w:t xml:space="preserve">          </w:t>
      </w:r>
      <w:r>
        <w:rPr>
          <w:rFonts w:hint="eastAsia" w:hAnsi="宋体"/>
          <w:color w:val="auto"/>
          <w:kern w:val="2"/>
          <w:sz w:val="21"/>
          <w:szCs w:val="21"/>
          <w:lang w:val="zh-CN"/>
        </w:rPr>
        <w:t>；质保期为：</w:t>
      </w:r>
      <w:r>
        <w:rPr>
          <w:rFonts w:hint="eastAsia" w:hAnsi="宋体"/>
          <w:color w:val="auto"/>
          <w:kern w:val="2"/>
          <w:sz w:val="21"/>
          <w:szCs w:val="21"/>
          <w:u w:val="single"/>
          <w:lang w:val="zh-CN"/>
        </w:rPr>
        <w:t xml:space="preserve">          。</w:t>
      </w:r>
    </w:p>
    <w:p>
      <w:pPr>
        <w:keepNext w:val="0"/>
        <w:keepLines w:val="0"/>
        <w:pageBreakBefore w:val="0"/>
        <w:widowControl w:val="0"/>
        <w:kinsoku/>
        <w:wordWrap w:val="0"/>
        <w:overflowPunct/>
        <w:topLinePunct w:val="0"/>
        <w:autoSpaceDE w:val="0"/>
        <w:autoSpaceDN w:val="0"/>
        <w:bidi w:val="0"/>
        <w:adjustRightInd w:val="0"/>
        <w:snapToGrid/>
        <w:spacing w:line="380" w:lineRule="exact"/>
        <w:ind w:firstLine="420" w:firstLineChars="200"/>
        <w:jc w:val="both"/>
        <w:textAlignment w:val="auto"/>
        <w:outlineLvl w:val="9"/>
        <w:rPr>
          <w:rFonts w:hAnsi="宋体"/>
          <w:color w:val="auto"/>
          <w:kern w:val="2"/>
          <w:sz w:val="21"/>
          <w:szCs w:val="21"/>
          <w:lang w:val="zh-CN"/>
        </w:rPr>
      </w:pPr>
      <w:r>
        <w:rPr>
          <w:rFonts w:hint="eastAsia" w:hAnsi="宋体"/>
          <w:color w:val="auto"/>
          <w:kern w:val="2"/>
          <w:sz w:val="21"/>
          <w:szCs w:val="21"/>
          <w:lang w:val="zh-CN"/>
        </w:rPr>
        <w:t>（九）所有与本报价有关的函件请发往下列地址：</w:t>
      </w:r>
    </w:p>
    <w:p>
      <w:pPr>
        <w:kinsoku/>
        <w:wordWrap w:val="0"/>
        <w:overflowPunct/>
        <w:topLinePunct w:val="0"/>
        <w:bidi w:val="0"/>
        <w:spacing w:line="300" w:lineRule="exact"/>
        <w:jc w:val="both"/>
        <w:outlineLvl w:val="9"/>
        <w:rPr>
          <w:rFonts w:hAnsi="宋体"/>
          <w:color w:val="auto"/>
          <w:kern w:val="2"/>
          <w:sz w:val="21"/>
          <w:szCs w:val="21"/>
          <w:u w:val="single"/>
          <w:lang w:val="zh-CN"/>
        </w:rPr>
      </w:pPr>
      <w:r>
        <w:rPr>
          <w:rFonts w:hint="eastAsia" w:hAnsi="宋体"/>
          <w:color w:val="auto"/>
          <w:kern w:val="2"/>
          <w:sz w:val="21"/>
          <w:szCs w:val="21"/>
          <w:lang w:val="zh-CN"/>
        </w:rPr>
        <w:t>地　址：</w:t>
      </w:r>
      <w:r>
        <w:rPr>
          <w:rFonts w:hint="eastAsia" w:hAnsi="宋体"/>
          <w:color w:val="auto"/>
          <w:kern w:val="2"/>
          <w:sz w:val="21"/>
          <w:szCs w:val="21"/>
          <w:u w:val="single"/>
          <w:lang w:val="zh-CN"/>
        </w:rPr>
        <w:t>　　　　　　　　　　　</w:t>
      </w:r>
      <w:r>
        <w:rPr>
          <w:rFonts w:hAnsi="宋体"/>
          <w:color w:val="auto"/>
          <w:kern w:val="2"/>
          <w:sz w:val="21"/>
          <w:szCs w:val="21"/>
          <w:lang w:val="zh-CN"/>
        </w:rPr>
        <w:tab/>
      </w:r>
      <w:r>
        <w:rPr>
          <w:rFonts w:hAnsi="宋体"/>
          <w:color w:val="auto"/>
          <w:kern w:val="2"/>
          <w:sz w:val="21"/>
          <w:szCs w:val="21"/>
          <w:lang w:val="zh-CN"/>
        </w:rPr>
        <w:tab/>
      </w:r>
      <w:r>
        <w:rPr>
          <w:rFonts w:hint="eastAsia" w:hAnsi="宋体"/>
          <w:color w:val="auto"/>
          <w:kern w:val="2"/>
          <w:sz w:val="21"/>
          <w:szCs w:val="21"/>
          <w:lang w:val="zh-CN"/>
        </w:rPr>
        <w:t>邮政编码：</w:t>
      </w:r>
      <w:r>
        <w:rPr>
          <w:rFonts w:hint="eastAsia" w:hAnsi="宋体"/>
          <w:color w:val="auto"/>
          <w:kern w:val="2"/>
          <w:sz w:val="21"/>
          <w:szCs w:val="21"/>
          <w:u w:val="single"/>
          <w:lang w:val="zh-CN"/>
        </w:rPr>
        <w:t xml:space="preserve">　　　　　　　　　　 </w:t>
      </w:r>
    </w:p>
    <w:p>
      <w:pPr>
        <w:kinsoku/>
        <w:wordWrap w:val="0"/>
        <w:overflowPunct/>
        <w:topLinePunct w:val="0"/>
        <w:bidi w:val="0"/>
        <w:spacing w:line="300" w:lineRule="exact"/>
        <w:jc w:val="both"/>
        <w:outlineLvl w:val="9"/>
        <w:rPr>
          <w:rFonts w:hAnsi="宋体"/>
          <w:color w:val="auto"/>
          <w:kern w:val="2"/>
          <w:sz w:val="21"/>
          <w:szCs w:val="21"/>
          <w:lang w:val="zh-CN"/>
        </w:rPr>
      </w:pPr>
      <w:r>
        <w:rPr>
          <w:rFonts w:hint="eastAsia" w:hAnsi="宋体"/>
          <w:color w:val="auto"/>
          <w:kern w:val="2"/>
          <w:sz w:val="21"/>
          <w:szCs w:val="21"/>
          <w:lang w:val="zh-CN"/>
        </w:rPr>
        <w:t>电　　话：</w:t>
      </w:r>
      <w:r>
        <w:rPr>
          <w:rFonts w:hint="eastAsia" w:hAnsi="宋体"/>
          <w:color w:val="auto"/>
          <w:kern w:val="2"/>
          <w:sz w:val="21"/>
          <w:szCs w:val="21"/>
          <w:u w:val="single"/>
          <w:lang w:val="zh-CN"/>
        </w:rPr>
        <w:t>　　　　　　　　　　　</w:t>
      </w:r>
      <w:r>
        <w:rPr>
          <w:rFonts w:hAnsi="宋体"/>
          <w:color w:val="auto"/>
          <w:kern w:val="2"/>
          <w:sz w:val="21"/>
          <w:szCs w:val="21"/>
          <w:lang w:val="zh-CN"/>
        </w:rPr>
        <w:tab/>
      </w:r>
      <w:r>
        <w:rPr>
          <w:rFonts w:hAnsi="宋体"/>
          <w:color w:val="auto"/>
          <w:kern w:val="2"/>
          <w:sz w:val="21"/>
          <w:szCs w:val="21"/>
          <w:lang w:val="zh-CN"/>
        </w:rPr>
        <w:tab/>
      </w:r>
      <w:r>
        <w:rPr>
          <w:rFonts w:hint="eastAsia" w:hAnsi="宋体"/>
          <w:color w:val="auto"/>
          <w:kern w:val="2"/>
          <w:sz w:val="21"/>
          <w:szCs w:val="21"/>
          <w:lang w:val="zh-CN"/>
        </w:rPr>
        <w:t>代表姓名：</w:t>
      </w:r>
      <w:r>
        <w:rPr>
          <w:rFonts w:hint="eastAsia" w:hAnsi="宋体"/>
          <w:color w:val="auto"/>
          <w:kern w:val="2"/>
          <w:sz w:val="21"/>
          <w:szCs w:val="21"/>
          <w:u w:val="single"/>
          <w:lang w:val="zh-CN"/>
        </w:rPr>
        <w:t>　　　　　　　　　 　</w:t>
      </w:r>
    </w:p>
    <w:p>
      <w:pPr>
        <w:kinsoku/>
        <w:overflowPunct/>
        <w:topLinePunct w:val="0"/>
        <w:bidi w:val="0"/>
        <w:snapToGrid w:val="0"/>
        <w:spacing w:line="440" w:lineRule="exact"/>
        <w:outlineLvl w:val="9"/>
        <w:rPr>
          <w:rFonts w:hint="eastAsia" w:hAnsi="宋体"/>
          <w:color w:val="auto"/>
          <w:sz w:val="21"/>
          <w:szCs w:val="21"/>
          <w:lang w:eastAsia="zh-CN"/>
        </w:rPr>
      </w:pPr>
      <w:bookmarkStart w:id="59" w:name="_Toc382840853"/>
      <w:bookmarkStart w:id="60" w:name="_Toc382926905"/>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napToGrid w:val="0"/>
        <w:spacing w:line="440" w:lineRule="exact"/>
        <w:outlineLvl w:val="9"/>
        <w:rPr>
          <w:rFonts w:hAnsi="宋体"/>
          <w:color w:val="auto"/>
          <w:sz w:val="21"/>
          <w:szCs w:val="21"/>
        </w:rPr>
      </w:pPr>
    </w:p>
    <w:p>
      <w:pPr>
        <w:kinsoku/>
        <w:overflowPunct/>
        <w:topLinePunct w:val="0"/>
        <w:bidi w:val="0"/>
        <w:spacing w:after="120" w:line="480" w:lineRule="exact"/>
        <w:outlineLvl w:val="9"/>
        <w:rPr>
          <w:rFonts w:hAnsi="宋体"/>
          <w:b/>
          <w:color w:val="auto"/>
          <w:sz w:val="21"/>
          <w:szCs w:val="20"/>
        </w:rPr>
      </w:pPr>
      <w:r>
        <w:rPr>
          <w:rFonts w:hint="eastAsia" w:hAnsi="宋体"/>
          <w:b/>
          <w:color w:val="auto"/>
          <w:sz w:val="21"/>
          <w:szCs w:val="20"/>
        </w:rPr>
        <w:t xml:space="preserve">附表2.2.1 </w:t>
      </w:r>
      <w:r>
        <w:rPr>
          <w:rFonts w:hint="eastAsia" w:hAnsi="宋体"/>
          <w:b/>
          <w:color w:val="auto"/>
          <w:sz w:val="21"/>
          <w:szCs w:val="20"/>
          <w:lang w:eastAsia="zh-CN"/>
        </w:rPr>
        <w:t>响应供应商</w:t>
      </w:r>
      <w:r>
        <w:rPr>
          <w:rFonts w:hint="eastAsia" w:hAnsi="宋体"/>
          <w:b/>
          <w:color w:val="auto"/>
          <w:sz w:val="21"/>
          <w:szCs w:val="20"/>
        </w:rPr>
        <w:t>资格声明书格式</w:t>
      </w:r>
      <w:bookmarkEnd w:id="59"/>
      <w:bookmarkEnd w:id="60"/>
    </w:p>
    <w:p>
      <w:pPr>
        <w:pStyle w:val="30"/>
        <w:kinsoku/>
        <w:overflowPunct/>
        <w:topLinePunct w:val="0"/>
        <w:bidi w:val="0"/>
        <w:spacing w:line="480" w:lineRule="exact"/>
        <w:jc w:val="center"/>
        <w:outlineLvl w:val="9"/>
        <w:rPr>
          <w:rFonts w:hAnsi="宋体"/>
          <w:b/>
          <w:bCs/>
          <w:color w:val="auto"/>
          <w:sz w:val="24"/>
          <w:szCs w:val="32"/>
        </w:rPr>
      </w:pPr>
      <w:r>
        <w:rPr>
          <w:rFonts w:hint="eastAsia" w:hAnsi="宋体"/>
          <w:b/>
          <w:bCs/>
          <w:color w:val="auto"/>
          <w:sz w:val="24"/>
          <w:szCs w:val="32"/>
        </w:rPr>
        <w:t>资格声明书</w:t>
      </w:r>
    </w:p>
    <w:p>
      <w:pPr>
        <w:pStyle w:val="30"/>
        <w:kinsoku/>
        <w:overflowPunct/>
        <w:topLinePunct w:val="0"/>
        <w:bidi w:val="0"/>
        <w:spacing w:line="480" w:lineRule="exact"/>
        <w:outlineLvl w:val="9"/>
        <w:rPr>
          <w:rFonts w:hAnsi="宋体"/>
          <w:color w:val="auto"/>
        </w:rPr>
      </w:pPr>
      <w:r>
        <w:rPr>
          <w:rFonts w:hint="eastAsia" w:hAnsi="宋体"/>
          <w:b/>
          <w:color w:val="auto"/>
        </w:rPr>
        <w:t>致：</w:t>
      </w:r>
      <w:r>
        <w:rPr>
          <w:rFonts w:hint="eastAsia" w:hAnsi="宋体"/>
          <w:b/>
          <w:color w:val="auto"/>
          <w:u w:val="single"/>
          <w:lang w:eastAsia="zh-CN"/>
        </w:rPr>
        <w:t>南方医科大学第七附属医院</w:t>
      </w:r>
      <w:r>
        <w:rPr>
          <w:rFonts w:hint="eastAsia" w:hAnsi="宋体"/>
          <w:b/>
          <w:color w:val="auto"/>
          <w:u w:val="single"/>
        </w:rPr>
        <w:t xml:space="preserve"> / 广东远东招标代理有限公司 </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为响应你方组织的“</w:t>
      </w:r>
      <w:r>
        <w:rPr>
          <w:rFonts w:hint="eastAsia" w:hAnsi="宋体"/>
          <w:b/>
          <w:color w:val="auto"/>
          <w:szCs w:val="21"/>
          <w:u w:val="single"/>
          <w:lang w:eastAsia="zh-CN"/>
        </w:rPr>
        <w:t>洗衣房洗涤用品采购项目（第二次）</w:t>
      </w:r>
      <w:r>
        <w:rPr>
          <w:rFonts w:hint="eastAsia" w:hAnsi="宋体"/>
          <w:color w:val="auto"/>
          <w:szCs w:val="21"/>
        </w:rPr>
        <w:t>”的招标[采购编号为：</w:t>
      </w:r>
      <w:r>
        <w:rPr>
          <w:rFonts w:hint="eastAsia" w:hAnsi="宋体"/>
          <w:b/>
          <w:color w:val="auto"/>
          <w:szCs w:val="21"/>
          <w:u w:val="single"/>
          <w:lang w:eastAsia="zh-CN"/>
        </w:rPr>
        <w:t>NFQYCG2023002</w:t>
      </w:r>
      <w:r>
        <w:rPr>
          <w:rFonts w:hint="eastAsia" w:hAnsi="宋体"/>
          <w:color w:val="auto"/>
          <w:szCs w:val="21"/>
        </w:rPr>
        <w:t>]，我方愿参与投标并作出如下声明：</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一、我方作为</w:t>
      </w:r>
      <w:r>
        <w:rPr>
          <w:rFonts w:hint="eastAsia" w:hAnsi="宋体"/>
          <w:color w:val="auto"/>
          <w:szCs w:val="21"/>
          <w:u w:val="single"/>
        </w:rPr>
        <w:t xml:space="preserve">   （</w:t>
      </w:r>
      <w:r>
        <w:rPr>
          <w:rFonts w:hint="eastAsia" w:hAnsi="宋体"/>
          <w:color w:val="auto"/>
          <w:szCs w:val="21"/>
          <w:u w:val="single"/>
          <w:lang w:eastAsia="zh-CN"/>
        </w:rPr>
        <w:t>响应供应商</w:t>
      </w:r>
      <w:r>
        <w:rPr>
          <w:rFonts w:hint="eastAsia" w:hAnsi="宋体"/>
          <w:color w:val="auto"/>
          <w:szCs w:val="21"/>
          <w:u w:val="single"/>
        </w:rPr>
        <w:t xml:space="preserve">名称）   </w:t>
      </w:r>
      <w:r>
        <w:rPr>
          <w:rFonts w:hint="eastAsia" w:hAnsi="宋体"/>
          <w:color w:val="auto"/>
          <w:szCs w:val="21"/>
        </w:rPr>
        <w:t>是在法律、财务和运作上独立于采购人、采购代理机构的</w:t>
      </w:r>
      <w:r>
        <w:rPr>
          <w:rFonts w:hint="eastAsia" w:hAnsi="宋体"/>
          <w:color w:val="auto"/>
          <w:szCs w:val="21"/>
          <w:lang w:eastAsia="zh-CN"/>
        </w:rPr>
        <w:t>响应供应商</w:t>
      </w:r>
      <w:r>
        <w:rPr>
          <w:rFonts w:hint="eastAsia" w:hAnsi="宋体"/>
          <w:color w:val="auto"/>
          <w:szCs w:val="21"/>
        </w:rPr>
        <w:t>，提交所有文件和全部说明是真实的和正确的。</w:t>
      </w:r>
    </w:p>
    <w:p>
      <w:pPr>
        <w:pStyle w:val="11"/>
        <w:kinsoku/>
        <w:overflowPunct/>
        <w:topLinePunct w:val="0"/>
        <w:bidi w:val="0"/>
        <w:spacing w:line="460" w:lineRule="exact"/>
        <w:ind w:firstLine="420" w:firstLineChars="200"/>
        <w:outlineLvl w:val="9"/>
        <w:rPr>
          <w:rFonts w:hAnsi="宋体"/>
          <w:color w:val="auto"/>
          <w:szCs w:val="21"/>
        </w:rPr>
      </w:pPr>
      <w:r>
        <w:rPr>
          <w:rFonts w:hint="eastAsia" w:hAnsi="宋体"/>
          <w:color w:val="auto"/>
          <w:szCs w:val="21"/>
        </w:rPr>
        <w:t>二、本公司（企业）具备《中华人民共和国政府采购法》第二十二条规定的条件：</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（一）具有独立承担民事责任的能力；</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（二）具有良好的商业信誉和健全的财务会计制度；</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（三）具有履行合同所必需的设备和专业技术能力；</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（四）有依法缴纳税收和社会保障资金的良好记录；</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（五）参加政府采购活动前三年内，在经营活动中没有重大违法记录；</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（六）法律、行政法规规定的其他条件。</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三、本公司（企业）的单位负责人与所参投的本采购项目的其他投标人的单位负责人不为同一人且与其他投标人之间不存在直接控股、管理关系。</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五、本公司（企业）承诺在本次招标采购活动中，如有违法、违规、弄虚作假行为，所造成的损失、不良后果及法律责任，一律由我公司（企业）承担。</w:t>
      </w:r>
    </w:p>
    <w:p>
      <w:pPr>
        <w:pStyle w:val="11"/>
        <w:kinsoku/>
        <w:overflowPunct/>
        <w:topLinePunct w:val="0"/>
        <w:bidi w:val="0"/>
        <w:spacing w:line="460" w:lineRule="exact"/>
        <w:ind w:firstLine="420"/>
        <w:outlineLvl w:val="9"/>
        <w:rPr>
          <w:rFonts w:hAnsi="宋体"/>
          <w:color w:val="auto"/>
          <w:szCs w:val="21"/>
        </w:rPr>
      </w:pPr>
      <w:r>
        <w:rPr>
          <w:rFonts w:hint="eastAsia" w:hAnsi="宋体"/>
          <w:color w:val="auto"/>
          <w:szCs w:val="21"/>
        </w:rPr>
        <w:t>六、我方理解你方可能还要求提供更进一步的资格资料，并愿意应你方的要求提交。</w:t>
      </w:r>
    </w:p>
    <w:p>
      <w:pPr>
        <w:pStyle w:val="30"/>
        <w:kinsoku/>
        <w:overflowPunct/>
        <w:topLinePunct w:val="0"/>
        <w:bidi w:val="0"/>
        <w:spacing w:line="480" w:lineRule="exact"/>
        <w:outlineLvl w:val="9"/>
        <w:rPr>
          <w:rFonts w:hAnsi="宋体"/>
          <w:color w:val="auto"/>
        </w:rPr>
      </w:pPr>
    </w:p>
    <w:p>
      <w:pPr>
        <w:pStyle w:val="30"/>
        <w:kinsoku/>
        <w:overflowPunct/>
        <w:topLinePunct w:val="0"/>
        <w:bidi w:val="0"/>
        <w:spacing w:line="480" w:lineRule="exact"/>
        <w:outlineLvl w:val="9"/>
        <w:rPr>
          <w:rFonts w:hAnsi="宋体"/>
          <w:color w:val="auto"/>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pStyle w:val="30"/>
        <w:kinsoku/>
        <w:overflowPunct/>
        <w:topLinePunct w:val="0"/>
        <w:bidi w:val="0"/>
        <w:spacing w:line="480" w:lineRule="exact"/>
        <w:outlineLvl w:val="9"/>
        <w:rPr>
          <w:rFonts w:hAnsi="宋体"/>
          <w:color w:val="auto"/>
        </w:rPr>
      </w:pPr>
    </w:p>
    <w:p>
      <w:pPr>
        <w:pStyle w:val="30"/>
        <w:kinsoku/>
        <w:overflowPunct/>
        <w:topLinePunct w:val="0"/>
        <w:bidi w:val="0"/>
        <w:spacing w:line="480" w:lineRule="exact"/>
        <w:outlineLvl w:val="9"/>
        <w:rPr>
          <w:rFonts w:hAnsi="宋体"/>
          <w:color w:val="auto"/>
        </w:rPr>
      </w:pPr>
    </w:p>
    <w:p>
      <w:pPr>
        <w:kinsoku/>
        <w:overflowPunct/>
        <w:topLinePunct w:val="0"/>
        <w:bidi w:val="0"/>
        <w:spacing w:before="120" w:after="120"/>
        <w:jc w:val="both"/>
        <w:outlineLvl w:val="9"/>
        <w:rPr>
          <w:rFonts w:hAnsi="宋体"/>
          <w:b/>
          <w:color w:val="auto"/>
          <w:sz w:val="21"/>
          <w:szCs w:val="20"/>
        </w:rPr>
      </w:pPr>
      <w:bookmarkStart w:id="61" w:name="_Hlt10549792"/>
      <w:bookmarkEnd w:id="61"/>
      <w:bookmarkStart w:id="62" w:name="_Toc382926906"/>
      <w:bookmarkStart w:id="63" w:name="_Toc382840854"/>
      <w:bookmarkStart w:id="64" w:name="_Toc10548701"/>
      <w:r>
        <w:rPr>
          <w:rFonts w:hint="eastAsia" w:hAnsi="宋体"/>
          <w:b/>
          <w:color w:val="auto"/>
          <w:sz w:val="21"/>
          <w:szCs w:val="20"/>
        </w:rPr>
        <w:t>附表2.2.2 法定代表人证明书格式</w:t>
      </w:r>
      <w:bookmarkEnd w:id="62"/>
      <w:bookmarkEnd w:id="63"/>
    </w:p>
    <w:p>
      <w:pPr>
        <w:kinsoku/>
        <w:overflowPunct/>
        <w:topLinePunct w:val="0"/>
        <w:bidi w:val="0"/>
        <w:spacing w:line="480" w:lineRule="exact"/>
        <w:jc w:val="center"/>
        <w:outlineLvl w:val="9"/>
        <w:rPr>
          <w:rFonts w:hAnsi="宋体"/>
          <w:b/>
          <w:color w:val="auto"/>
          <w:sz w:val="28"/>
          <w:szCs w:val="28"/>
        </w:rPr>
      </w:pPr>
    </w:p>
    <w:p>
      <w:pPr>
        <w:kinsoku/>
        <w:overflowPunct/>
        <w:topLinePunct w:val="0"/>
        <w:bidi w:val="0"/>
        <w:spacing w:line="480" w:lineRule="exact"/>
        <w:jc w:val="center"/>
        <w:outlineLvl w:val="9"/>
        <w:rPr>
          <w:rFonts w:hAnsi="宋体"/>
          <w:b/>
          <w:color w:val="auto"/>
          <w:sz w:val="28"/>
          <w:szCs w:val="28"/>
        </w:rPr>
      </w:pPr>
      <w:r>
        <w:rPr>
          <w:rFonts w:hint="eastAsia" w:hAnsi="宋体"/>
          <w:b/>
          <w:color w:val="auto"/>
          <w:sz w:val="28"/>
          <w:szCs w:val="28"/>
        </w:rPr>
        <w:t>法定代表人/负责人资格证明书</w:t>
      </w:r>
    </w:p>
    <w:p>
      <w:pPr>
        <w:kinsoku/>
        <w:overflowPunct/>
        <w:topLinePunct w:val="0"/>
        <w:bidi w:val="0"/>
        <w:spacing w:line="480" w:lineRule="exact"/>
        <w:outlineLvl w:val="9"/>
        <w:rPr>
          <w:rFonts w:hAnsi="宋体"/>
          <w:color w:val="auto"/>
          <w:sz w:val="21"/>
          <w:szCs w:val="21"/>
        </w:rPr>
      </w:pPr>
    </w:p>
    <w:p>
      <w:pPr>
        <w:kinsoku/>
        <w:overflowPunct/>
        <w:topLinePunct w:val="0"/>
        <w:bidi w:val="0"/>
        <w:spacing w:line="480" w:lineRule="exact"/>
        <w:outlineLvl w:val="9"/>
        <w:rPr>
          <w:rFonts w:hAnsi="宋体"/>
          <w:b/>
          <w:color w:val="auto"/>
          <w:sz w:val="21"/>
          <w:szCs w:val="21"/>
        </w:rPr>
      </w:pPr>
      <w:r>
        <w:rPr>
          <w:rFonts w:hint="eastAsia" w:hAnsi="宋体"/>
          <w:b/>
          <w:color w:val="auto"/>
          <w:sz w:val="21"/>
          <w:szCs w:val="21"/>
        </w:rPr>
        <w:t>致：</w:t>
      </w:r>
      <w:r>
        <w:rPr>
          <w:rFonts w:hint="eastAsia" w:hAnsi="宋体"/>
          <w:b/>
          <w:color w:val="auto"/>
          <w:sz w:val="21"/>
          <w:szCs w:val="21"/>
          <w:lang w:eastAsia="zh-CN"/>
        </w:rPr>
        <w:t>南方医科大学第七附属医院</w:t>
      </w:r>
      <w:r>
        <w:rPr>
          <w:rFonts w:hint="eastAsia" w:hAnsi="宋体"/>
          <w:b/>
          <w:color w:val="auto"/>
          <w:sz w:val="21"/>
          <w:szCs w:val="21"/>
        </w:rPr>
        <w:t xml:space="preserve"> / 广东远东招标代理有限公司</w:t>
      </w:r>
    </w:p>
    <w:p>
      <w:pPr>
        <w:kinsoku/>
        <w:overflowPunct/>
        <w:topLinePunct w:val="0"/>
        <w:bidi w:val="0"/>
        <w:outlineLvl w:val="9"/>
        <w:rPr>
          <w:rFonts w:hAnsi="宋体"/>
          <w:color w:val="auto"/>
          <w:sz w:val="21"/>
          <w:szCs w:val="21"/>
        </w:rPr>
      </w:pPr>
    </w:p>
    <w:p>
      <w:pPr>
        <w:kinsoku/>
        <w:overflowPunct/>
        <w:topLinePunct w:val="0"/>
        <w:bidi w:val="0"/>
        <w:spacing w:line="440" w:lineRule="exact"/>
        <w:outlineLvl w:val="9"/>
        <w:rPr>
          <w:rFonts w:hAnsi="宋体"/>
          <w:color w:val="auto"/>
          <w:sz w:val="21"/>
          <w:szCs w:val="21"/>
        </w:rPr>
      </w:pPr>
      <w:r>
        <w:rPr>
          <w:rFonts w:hint="eastAsia" w:hAnsi="宋体"/>
          <w:color w:val="auto"/>
          <w:sz w:val="21"/>
          <w:szCs w:val="21"/>
          <w:u w:val="single"/>
        </w:rPr>
        <w:t xml:space="preserve">      </w:t>
      </w:r>
      <w:r>
        <w:rPr>
          <w:rFonts w:hint="eastAsia" w:hAnsi="宋体"/>
          <w:color w:val="auto"/>
          <w:sz w:val="21"/>
          <w:szCs w:val="21"/>
        </w:rPr>
        <w:t>同志，现任我单位</w:t>
      </w:r>
      <w:r>
        <w:rPr>
          <w:rFonts w:hint="eastAsia" w:hAnsi="宋体"/>
          <w:color w:val="auto"/>
          <w:sz w:val="21"/>
          <w:szCs w:val="21"/>
          <w:u w:val="single"/>
        </w:rPr>
        <w:t xml:space="preserve">            </w:t>
      </w:r>
      <w:r>
        <w:rPr>
          <w:rFonts w:hint="eastAsia" w:hAnsi="宋体"/>
          <w:color w:val="auto"/>
          <w:sz w:val="21"/>
          <w:szCs w:val="21"/>
        </w:rPr>
        <w:t>职务，为法定代表人，特此证明。</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签发日期：                  单位：（</w:t>
      </w:r>
      <w:r>
        <w:rPr>
          <w:rFonts w:hint="eastAsia" w:hAnsi="宋体"/>
          <w:color w:val="auto"/>
          <w:kern w:val="2"/>
          <w:sz w:val="21"/>
          <w:szCs w:val="21"/>
          <w:lang w:val="zh-CN"/>
        </w:rPr>
        <w:t>加盖法人公章</w:t>
      </w:r>
      <w:r>
        <w:rPr>
          <w:rFonts w:hint="eastAsia" w:hAnsi="宋体"/>
          <w:color w:val="auto"/>
          <w:sz w:val="21"/>
          <w:szCs w:val="21"/>
        </w:rPr>
        <w:t>）</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附：代表人性别：            年龄：           身份证号码：</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联系电话：</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营业执照号码：                       经济性质：</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主营（产）：</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兼营（产）：</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进口物品经营许可证号码：</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主营：</w:t>
      </w:r>
    </w:p>
    <w:p>
      <w:pPr>
        <w:kinsoku/>
        <w:overflowPunct/>
        <w:topLinePunct w:val="0"/>
        <w:bidi w:val="0"/>
        <w:spacing w:line="440" w:lineRule="exact"/>
        <w:ind w:firstLine="210" w:firstLineChars="100"/>
        <w:outlineLvl w:val="9"/>
        <w:rPr>
          <w:rFonts w:hAnsi="宋体"/>
          <w:color w:val="auto"/>
          <w:sz w:val="21"/>
          <w:szCs w:val="21"/>
        </w:rPr>
      </w:pPr>
      <w:r>
        <w:rPr>
          <w:rFonts w:hint="eastAsia" w:hAnsi="宋体"/>
          <w:color w:val="auto"/>
          <w:sz w:val="21"/>
          <w:szCs w:val="21"/>
        </w:rPr>
        <w:t>兼营：</w:t>
      </w:r>
    </w:p>
    <w:p>
      <w:pPr>
        <w:kinsoku/>
        <w:overflowPunct/>
        <w:topLinePunct w:val="0"/>
        <w:bidi w:val="0"/>
        <w:spacing w:line="440" w:lineRule="exact"/>
        <w:outlineLvl w:val="9"/>
        <w:rPr>
          <w:rFonts w:hAnsi="宋体"/>
          <w:color w:val="auto"/>
          <w:sz w:val="21"/>
          <w:szCs w:val="21"/>
        </w:rPr>
      </w:pPr>
      <w:r>
        <w:rPr>
          <w:rFonts w:hint="eastAsia" w:hAnsi="宋体"/>
          <w:color w:val="auto"/>
          <w:sz w:val="21"/>
          <w:szCs w:val="21"/>
        </w:rPr>
        <w:t>说明：1.法定代表人为企业事业单位、国家机关、社会团体的主要行政负责人。</w:t>
      </w:r>
    </w:p>
    <w:p>
      <w:pPr>
        <w:kinsoku/>
        <w:overflowPunct/>
        <w:topLinePunct w:val="0"/>
        <w:bidi w:val="0"/>
        <w:spacing w:line="440" w:lineRule="exact"/>
        <w:outlineLvl w:val="9"/>
        <w:rPr>
          <w:rFonts w:hAnsi="宋体"/>
          <w:color w:val="auto"/>
          <w:sz w:val="21"/>
          <w:szCs w:val="21"/>
        </w:rPr>
      </w:pPr>
      <w:r>
        <w:rPr>
          <w:rFonts w:hint="eastAsia" w:hAnsi="宋体"/>
          <w:color w:val="auto"/>
          <w:sz w:val="21"/>
          <w:szCs w:val="21"/>
        </w:rPr>
        <w:t xml:space="preserve">      2.内容必须填写真实、清楚、涂改无效，不得转让、买卖。</w:t>
      </w:r>
    </w:p>
    <w:p>
      <w:pPr>
        <w:kinsoku/>
        <w:overflowPunct/>
        <w:topLinePunct w:val="0"/>
        <w:bidi w:val="0"/>
        <w:spacing w:line="440" w:lineRule="exact"/>
        <w:ind w:firstLine="630" w:firstLineChars="300"/>
        <w:outlineLvl w:val="9"/>
        <w:rPr>
          <w:rFonts w:hAnsi="宋体"/>
          <w:color w:val="auto"/>
          <w:sz w:val="21"/>
          <w:szCs w:val="21"/>
        </w:rPr>
      </w:pPr>
      <w:r>
        <w:rPr>
          <w:rFonts w:hint="eastAsia" w:hAnsi="宋体"/>
          <w:color w:val="auto"/>
          <w:sz w:val="21"/>
          <w:szCs w:val="21"/>
        </w:rPr>
        <w:t>3.将此证明书提交对方作为合同附件</w:t>
      </w:r>
      <w:r>
        <w:rPr>
          <w:rFonts w:hint="eastAsia" w:hAnsi="宋体"/>
          <w:b/>
          <w:color w:val="auto"/>
          <w:sz w:val="21"/>
          <w:szCs w:val="21"/>
        </w:rPr>
        <w:t>。</w:t>
      </w:r>
    </w:p>
    <w:p>
      <w:pPr>
        <w:kinsoku/>
        <w:overflowPunct/>
        <w:topLinePunct w:val="0"/>
        <w:bidi w:val="0"/>
        <w:outlineLvl w:val="9"/>
        <w:rPr>
          <w:rFonts w:hAnsi="宋体"/>
          <w:color w:val="auto"/>
          <w:sz w:val="21"/>
          <w:szCs w:val="21"/>
        </w:rPr>
      </w:pPr>
    </w:p>
    <w:p>
      <w:pPr>
        <w:kinsoku/>
        <w:overflowPunct/>
        <w:topLinePunct w:val="0"/>
        <w:bidi w:val="0"/>
        <w:outlineLvl w:val="9"/>
        <w:rPr>
          <w:rFonts w:hAnsi="宋体"/>
          <w:color w:val="auto"/>
          <w:sz w:val="21"/>
          <w:szCs w:val="21"/>
        </w:rPr>
      </w:pPr>
    </w:p>
    <w:p>
      <w:pPr>
        <w:kinsoku/>
        <w:overflowPunct/>
        <w:topLinePunct w:val="0"/>
        <w:bidi w:val="0"/>
        <w:outlineLvl w:val="9"/>
        <w:rPr>
          <w:rFonts w:hAnsi="宋体"/>
          <w:b/>
          <w:color w:val="auto"/>
          <w:sz w:val="21"/>
          <w:szCs w:val="21"/>
        </w:rPr>
      </w:pPr>
      <w:r>
        <w:rPr>
          <w:rFonts w:hint="eastAsia" w:hAnsi="宋体"/>
          <w:b/>
          <w:color w:val="auto"/>
          <w:sz w:val="21"/>
          <w:szCs w:val="21"/>
        </w:rPr>
        <w:t xml:space="preserve"> (为避免废标，请</w:t>
      </w:r>
      <w:r>
        <w:rPr>
          <w:rFonts w:hint="eastAsia" w:hAnsi="宋体"/>
          <w:b/>
          <w:color w:val="auto"/>
          <w:sz w:val="21"/>
          <w:szCs w:val="21"/>
          <w:lang w:eastAsia="zh-CN"/>
        </w:rPr>
        <w:t>响应供应商</w:t>
      </w:r>
      <w:r>
        <w:rPr>
          <w:rFonts w:hint="eastAsia" w:hAnsi="宋体"/>
          <w:b/>
          <w:color w:val="auto"/>
          <w:sz w:val="21"/>
          <w:szCs w:val="21"/>
        </w:rPr>
        <w:t>务必提供下列附件)</w:t>
      </w:r>
    </w:p>
    <w:p>
      <w:pPr>
        <w:kinsoku/>
        <w:overflowPunct/>
        <w:topLinePunct w:val="0"/>
        <w:bidi w:val="0"/>
        <w:outlineLvl w:val="9"/>
        <w:rPr>
          <w:rFonts w:hAnsi="宋体"/>
          <w:b/>
          <w:color w:val="auto"/>
          <w:sz w:val="21"/>
          <w:szCs w:val="21"/>
        </w:rPr>
      </w:pPr>
    </w:p>
    <w:p>
      <w:pPr>
        <w:kinsoku/>
        <w:overflowPunct/>
        <w:topLinePunct w:val="0"/>
        <w:bidi w:val="0"/>
        <w:outlineLvl w:val="9"/>
        <w:rPr>
          <w:rFonts w:hAnsi="宋体"/>
          <w:b/>
          <w:color w:val="auto"/>
          <w:sz w:val="21"/>
          <w:szCs w:val="21"/>
        </w:rPr>
      </w:pPr>
      <w:r>
        <w:rPr>
          <w:rFonts w:hAnsi="宋体"/>
          <w:b/>
          <w:color w:val="auto"/>
          <w:sz w:val="21"/>
          <w:szCs w:val="21"/>
        </w:rPr>
        <mc:AlternateContent>
          <mc:Choice Requires="wps">
            <w:drawing>
              <wp:anchor distT="0" distB="0" distL="114300" distR="114300" simplePos="0" relativeHeight="251659264" behindDoc="0" locked="0" layoutInCell="1" allowOverlap="1">
                <wp:simplePos x="0" y="0"/>
                <wp:positionH relativeFrom="column">
                  <wp:posOffset>1943100</wp:posOffset>
                </wp:positionH>
                <wp:positionV relativeFrom="paragraph">
                  <wp:posOffset>33020</wp:posOffset>
                </wp:positionV>
                <wp:extent cx="2905125" cy="1584325"/>
                <wp:effectExtent l="4445" t="4445" r="5080" b="11430"/>
                <wp:wrapNone/>
                <wp:docPr id="2" name="AutoShape 2"/>
                <wp:cNvGraphicFramePr/>
                <a:graphic xmlns:a="http://schemas.openxmlformats.org/drawingml/2006/main">
                  <a:graphicData uri="http://schemas.microsoft.com/office/word/2010/wordprocessingShape">
                    <wps:wsp>
                      <wps:cNvSpPr/>
                      <wps:spPr>
                        <a:xfrm>
                          <a:off x="0" y="0"/>
                          <a:ext cx="29051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法定代表人身份证复印件（正反面）</w:t>
                            </w:r>
                          </w:p>
                        </w:txbxContent>
                      </wps:txbx>
                      <wps:bodyPr upright="1"/>
                    </wps:wsp>
                  </a:graphicData>
                </a:graphic>
              </wp:anchor>
            </w:drawing>
          </mc:Choice>
          <mc:Fallback>
            <w:pict>
              <v:shape id="AutoShape 2" o:spid="_x0000_s1026" o:spt="176" type="#_x0000_t176" style="position:absolute;left:0pt;margin-left:153pt;margin-top:2.6pt;height:124.75pt;width:228.75pt;z-index:251659264;mso-width-relative:page;mso-height-relative:page;" fillcolor="#FFFFFF" filled="t" stroked="t" coordsize="21600,21600" o:gfxdata="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U6E1TX&#10;AAAACQEAAA8AAAAAAAAAAQAgAAAAIgAAAGRycy9kb3ducmV2LnhtbFBLAQIUABQAAAAIAIdO4kDM&#10;ctvx6AEAAPQDAAAOAAAAAAAAAAEAIAAAACYBAABkcnMvZTJvRG9jLnhtbFBLBQYAAAAABgAGAFkB&#10;AACA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法定代表人身份证复印件（正反面）</w:t>
                      </w:r>
                    </w:p>
                  </w:txbxContent>
                </v:textbox>
              </v:shape>
            </w:pict>
          </mc:Fallback>
        </mc:AlternateContent>
      </w:r>
    </w:p>
    <w:p>
      <w:pPr>
        <w:kinsoku/>
        <w:overflowPunct/>
        <w:topLinePunct w:val="0"/>
        <w:bidi w:val="0"/>
        <w:outlineLvl w:val="9"/>
        <w:rPr>
          <w:rFonts w:hAnsi="宋体"/>
          <w:b/>
          <w:color w:val="auto"/>
          <w:sz w:val="21"/>
          <w:szCs w:val="20"/>
        </w:rPr>
      </w:pPr>
      <w:r>
        <w:rPr>
          <w:color w:val="auto"/>
        </w:rPr>
        <w:br w:type="page"/>
      </w:r>
      <w:bookmarkEnd w:id="64"/>
      <w:r>
        <w:rPr>
          <w:rFonts w:hint="eastAsia" w:hAnsi="宋体"/>
          <w:b/>
          <w:color w:val="auto"/>
          <w:sz w:val="21"/>
          <w:szCs w:val="20"/>
        </w:rPr>
        <w:t>附表2.2.3 法定代表人授权书格式（有被授权人时适用）</w:t>
      </w:r>
    </w:p>
    <w:p>
      <w:pPr>
        <w:kinsoku/>
        <w:overflowPunct/>
        <w:topLinePunct w:val="0"/>
        <w:bidi w:val="0"/>
        <w:spacing w:line="360" w:lineRule="auto"/>
        <w:jc w:val="center"/>
        <w:outlineLvl w:val="9"/>
        <w:rPr>
          <w:rFonts w:hAnsi="宋体"/>
          <w:b/>
          <w:color w:val="auto"/>
          <w:sz w:val="28"/>
          <w:szCs w:val="28"/>
        </w:rPr>
      </w:pPr>
    </w:p>
    <w:p>
      <w:pPr>
        <w:kinsoku/>
        <w:overflowPunct/>
        <w:topLinePunct w:val="0"/>
        <w:bidi w:val="0"/>
        <w:spacing w:line="360" w:lineRule="auto"/>
        <w:jc w:val="center"/>
        <w:outlineLvl w:val="9"/>
        <w:rPr>
          <w:rFonts w:hAnsi="宋体"/>
          <w:b/>
          <w:color w:val="auto"/>
          <w:sz w:val="28"/>
          <w:szCs w:val="28"/>
        </w:rPr>
      </w:pPr>
      <w:r>
        <w:rPr>
          <w:rFonts w:hint="eastAsia" w:hAnsi="宋体"/>
          <w:b/>
          <w:color w:val="auto"/>
          <w:sz w:val="28"/>
          <w:szCs w:val="28"/>
        </w:rPr>
        <w:t>法定代表人授权书格式</w:t>
      </w: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r>
        <w:rPr>
          <w:rFonts w:hint="eastAsia" w:hAnsi="宋体"/>
          <w:b/>
          <w:color w:val="auto"/>
          <w:sz w:val="21"/>
          <w:szCs w:val="21"/>
        </w:rPr>
        <w:t>致：</w:t>
      </w:r>
      <w:r>
        <w:rPr>
          <w:rFonts w:hint="eastAsia" w:hAnsi="宋体"/>
          <w:b/>
          <w:color w:val="auto"/>
          <w:sz w:val="21"/>
          <w:szCs w:val="21"/>
          <w:lang w:eastAsia="zh-CN"/>
        </w:rPr>
        <w:t>南方医科大学第七附属医院</w:t>
      </w:r>
      <w:r>
        <w:rPr>
          <w:rFonts w:hint="eastAsia" w:hAnsi="宋体"/>
          <w:b/>
          <w:color w:val="auto"/>
          <w:sz w:val="21"/>
          <w:szCs w:val="21"/>
        </w:rPr>
        <w:t xml:space="preserve"> / 广东远东招标代理有限公司</w:t>
      </w:r>
    </w:p>
    <w:p>
      <w:pPr>
        <w:kinsoku/>
        <w:overflowPunct/>
        <w:topLinePunct w:val="0"/>
        <w:bidi w:val="0"/>
        <w:spacing w:line="480" w:lineRule="exact"/>
        <w:ind w:firstLine="420" w:firstLineChars="200"/>
        <w:outlineLvl w:val="9"/>
        <w:rPr>
          <w:rFonts w:hAnsi="宋体"/>
          <w:color w:val="auto"/>
          <w:sz w:val="21"/>
          <w:szCs w:val="21"/>
        </w:rPr>
      </w:pPr>
      <w:r>
        <w:rPr>
          <w:rFonts w:hint="eastAsia" w:hAnsi="宋体"/>
          <w:color w:val="auto"/>
          <w:sz w:val="21"/>
          <w:szCs w:val="21"/>
        </w:rPr>
        <w:t>兹授权</w:t>
      </w:r>
      <w:r>
        <w:rPr>
          <w:rFonts w:hint="eastAsia" w:hAnsi="宋体"/>
          <w:color w:val="auto"/>
          <w:sz w:val="21"/>
          <w:szCs w:val="21"/>
          <w:u w:val="single"/>
        </w:rPr>
        <w:t xml:space="preserve">       </w:t>
      </w:r>
      <w:r>
        <w:rPr>
          <w:rFonts w:hint="eastAsia" w:hAnsi="宋体"/>
          <w:color w:val="auto"/>
          <w:sz w:val="21"/>
          <w:szCs w:val="21"/>
        </w:rPr>
        <w:t>同志，为我方签订经济合同及办理其他事务代理人，其权限是：</w:t>
      </w:r>
      <w:r>
        <w:rPr>
          <w:rFonts w:hint="eastAsia" w:hAnsi="宋体"/>
          <w:color w:val="auto"/>
          <w:sz w:val="21"/>
          <w:szCs w:val="21"/>
          <w:u w:val="single"/>
        </w:rPr>
        <w:t xml:space="preserve">     </w:t>
      </w:r>
      <w:r>
        <w:rPr>
          <w:rFonts w:hint="eastAsia" w:hAnsi="宋体"/>
          <w:color w:val="auto"/>
          <w:sz w:val="21"/>
          <w:szCs w:val="21"/>
          <w:u w:val="single"/>
          <w:lang w:eastAsia="zh-CN"/>
        </w:rPr>
        <w:t>。</w:t>
      </w:r>
    </w:p>
    <w:p>
      <w:pPr>
        <w:kinsoku/>
        <w:overflowPunct/>
        <w:topLinePunct w:val="0"/>
        <w:bidi w:val="0"/>
        <w:spacing w:line="480" w:lineRule="exact"/>
        <w:outlineLvl w:val="9"/>
        <w:rPr>
          <w:rFonts w:hAnsi="宋体"/>
          <w:color w:val="auto"/>
          <w:sz w:val="21"/>
          <w:szCs w:val="21"/>
        </w:rPr>
      </w:pPr>
      <w:r>
        <w:rPr>
          <w:rFonts w:hint="eastAsia" w:hAnsi="宋体"/>
          <w:color w:val="auto"/>
          <w:sz w:val="21"/>
          <w:szCs w:val="21"/>
        </w:rPr>
        <w:t>授权单位：          （</w:t>
      </w:r>
      <w:r>
        <w:rPr>
          <w:rFonts w:hint="eastAsia" w:hAnsi="宋体"/>
          <w:color w:val="auto"/>
          <w:kern w:val="2"/>
          <w:sz w:val="21"/>
          <w:szCs w:val="21"/>
          <w:lang w:val="zh-CN"/>
        </w:rPr>
        <w:t>加盖法人公章</w:t>
      </w:r>
      <w:r>
        <w:rPr>
          <w:rFonts w:hint="eastAsia" w:hAnsi="宋体"/>
          <w:color w:val="auto"/>
          <w:sz w:val="21"/>
          <w:szCs w:val="21"/>
        </w:rPr>
        <w:t>）     法定代表人：              （亲笔签名）</w:t>
      </w:r>
    </w:p>
    <w:p>
      <w:pPr>
        <w:kinsoku/>
        <w:overflowPunct/>
        <w:topLinePunct w:val="0"/>
        <w:bidi w:val="0"/>
        <w:spacing w:line="480" w:lineRule="exact"/>
        <w:outlineLvl w:val="9"/>
        <w:rPr>
          <w:rFonts w:hAnsi="宋体"/>
          <w:color w:val="auto"/>
          <w:sz w:val="21"/>
          <w:szCs w:val="21"/>
        </w:rPr>
      </w:pPr>
      <w:r>
        <w:rPr>
          <w:rFonts w:hint="eastAsia" w:hAnsi="宋体"/>
          <w:color w:val="auto"/>
          <w:sz w:val="21"/>
          <w:szCs w:val="21"/>
        </w:rPr>
        <w:t>有效期限：至        年       月      日       签发日期：</w:t>
      </w:r>
    </w:p>
    <w:p>
      <w:pPr>
        <w:kinsoku/>
        <w:overflowPunct/>
        <w:topLinePunct w:val="0"/>
        <w:bidi w:val="0"/>
        <w:spacing w:line="480" w:lineRule="exact"/>
        <w:outlineLvl w:val="9"/>
        <w:rPr>
          <w:rFonts w:hAnsi="宋体"/>
          <w:color w:val="auto"/>
          <w:sz w:val="21"/>
          <w:szCs w:val="21"/>
        </w:rPr>
      </w:pPr>
      <w:r>
        <w:rPr>
          <w:rFonts w:hint="eastAsia" w:hAnsi="宋体"/>
          <w:color w:val="auto"/>
          <w:sz w:val="21"/>
          <w:szCs w:val="21"/>
        </w:rPr>
        <w:t>附：代理人性别：        年龄：       职务：         身份证号码：</w:t>
      </w:r>
    </w:p>
    <w:p>
      <w:pPr>
        <w:kinsoku/>
        <w:overflowPunct/>
        <w:topLinePunct w:val="0"/>
        <w:bidi w:val="0"/>
        <w:spacing w:line="480" w:lineRule="exact"/>
        <w:outlineLvl w:val="9"/>
        <w:rPr>
          <w:rFonts w:hAnsi="宋体"/>
          <w:color w:val="auto"/>
          <w:sz w:val="21"/>
          <w:szCs w:val="21"/>
        </w:rPr>
      </w:pPr>
      <w:r>
        <w:rPr>
          <w:rFonts w:hint="eastAsia" w:hAnsi="宋体"/>
          <w:color w:val="auto"/>
          <w:sz w:val="21"/>
          <w:szCs w:val="21"/>
        </w:rPr>
        <w:t xml:space="preserve">  联系电话：</w:t>
      </w:r>
    </w:p>
    <w:p>
      <w:pPr>
        <w:kinsoku/>
        <w:overflowPunct/>
        <w:topLinePunct w:val="0"/>
        <w:bidi w:val="0"/>
        <w:spacing w:line="480" w:lineRule="exact"/>
        <w:ind w:firstLine="210" w:firstLineChars="100"/>
        <w:outlineLvl w:val="9"/>
        <w:rPr>
          <w:rFonts w:hAnsi="宋体"/>
          <w:color w:val="auto"/>
          <w:sz w:val="21"/>
          <w:szCs w:val="21"/>
        </w:rPr>
      </w:pPr>
      <w:r>
        <w:rPr>
          <w:rFonts w:hint="eastAsia" w:hAnsi="宋体"/>
          <w:color w:val="auto"/>
          <w:sz w:val="21"/>
          <w:szCs w:val="21"/>
        </w:rPr>
        <w:t>营业执照号码：                         经济性质：</w:t>
      </w:r>
    </w:p>
    <w:p>
      <w:pPr>
        <w:kinsoku/>
        <w:overflowPunct/>
        <w:topLinePunct w:val="0"/>
        <w:bidi w:val="0"/>
        <w:spacing w:line="480" w:lineRule="exact"/>
        <w:ind w:firstLine="210" w:firstLineChars="100"/>
        <w:outlineLvl w:val="9"/>
        <w:rPr>
          <w:rFonts w:hAnsi="宋体"/>
          <w:color w:val="auto"/>
          <w:sz w:val="21"/>
          <w:szCs w:val="21"/>
        </w:rPr>
      </w:pPr>
      <w:r>
        <w:rPr>
          <w:rFonts w:hint="eastAsia" w:hAnsi="宋体"/>
          <w:color w:val="auto"/>
          <w:sz w:val="21"/>
          <w:szCs w:val="21"/>
        </w:rPr>
        <w:t>主营（产）：</w:t>
      </w:r>
    </w:p>
    <w:p>
      <w:pPr>
        <w:kinsoku/>
        <w:overflowPunct/>
        <w:topLinePunct w:val="0"/>
        <w:bidi w:val="0"/>
        <w:spacing w:line="480" w:lineRule="exact"/>
        <w:ind w:firstLine="210" w:firstLineChars="100"/>
        <w:outlineLvl w:val="9"/>
        <w:rPr>
          <w:rFonts w:hAnsi="宋体"/>
          <w:color w:val="auto"/>
          <w:sz w:val="21"/>
          <w:szCs w:val="21"/>
        </w:rPr>
      </w:pPr>
      <w:r>
        <w:rPr>
          <w:rFonts w:hint="eastAsia" w:hAnsi="宋体"/>
          <w:color w:val="auto"/>
          <w:sz w:val="21"/>
          <w:szCs w:val="21"/>
        </w:rPr>
        <w:t>兼营（产）：</w:t>
      </w:r>
    </w:p>
    <w:p>
      <w:pPr>
        <w:kinsoku/>
        <w:overflowPunct/>
        <w:topLinePunct w:val="0"/>
        <w:bidi w:val="0"/>
        <w:spacing w:line="480" w:lineRule="exact"/>
        <w:ind w:firstLine="210" w:firstLineChars="100"/>
        <w:outlineLvl w:val="9"/>
        <w:rPr>
          <w:rFonts w:hAnsi="宋体"/>
          <w:color w:val="auto"/>
          <w:sz w:val="21"/>
          <w:szCs w:val="21"/>
        </w:rPr>
      </w:pPr>
      <w:r>
        <w:rPr>
          <w:rFonts w:hint="eastAsia" w:hAnsi="宋体"/>
          <w:color w:val="auto"/>
          <w:sz w:val="21"/>
          <w:szCs w:val="21"/>
        </w:rPr>
        <w:t>进口物品经营许可证号码：</w:t>
      </w:r>
    </w:p>
    <w:p>
      <w:pPr>
        <w:kinsoku/>
        <w:overflowPunct/>
        <w:topLinePunct w:val="0"/>
        <w:bidi w:val="0"/>
        <w:spacing w:line="480" w:lineRule="exact"/>
        <w:ind w:firstLine="210" w:firstLineChars="100"/>
        <w:outlineLvl w:val="9"/>
        <w:rPr>
          <w:rFonts w:hAnsi="宋体"/>
          <w:color w:val="auto"/>
          <w:sz w:val="21"/>
          <w:szCs w:val="21"/>
        </w:rPr>
      </w:pPr>
      <w:r>
        <w:rPr>
          <w:rFonts w:hint="eastAsia" w:hAnsi="宋体"/>
          <w:color w:val="auto"/>
          <w:sz w:val="21"/>
          <w:szCs w:val="21"/>
        </w:rPr>
        <w:t>主营：</w:t>
      </w:r>
    </w:p>
    <w:p>
      <w:pPr>
        <w:kinsoku/>
        <w:overflowPunct/>
        <w:topLinePunct w:val="0"/>
        <w:bidi w:val="0"/>
        <w:spacing w:line="480" w:lineRule="exact"/>
        <w:ind w:firstLine="210" w:firstLineChars="100"/>
        <w:outlineLvl w:val="9"/>
        <w:rPr>
          <w:rFonts w:hAnsi="宋体"/>
          <w:color w:val="auto"/>
          <w:sz w:val="21"/>
          <w:szCs w:val="21"/>
        </w:rPr>
      </w:pPr>
      <w:r>
        <w:rPr>
          <w:rFonts w:hint="eastAsia" w:hAnsi="宋体"/>
          <w:color w:val="auto"/>
          <w:sz w:val="21"/>
          <w:szCs w:val="21"/>
        </w:rPr>
        <w:t>兼营：</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20" w:firstLineChars="200"/>
        <w:textAlignment w:val="auto"/>
        <w:outlineLvl w:val="9"/>
        <w:rPr>
          <w:rFonts w:hint="eastAsia" w:ascii="宋体" w:hAnsi="宋体" w:eastAsia="宋体" w:cs="Times New Roman"/>
          <w:color w:val="auto"/>
          <w:sz w:val="21"/>
          <w:szCs w:val="21"/>
        </w:rPr>
      </w:pPr>
      <w:r>
        <w:rPr>
          <w:rFonts w:hint="eastAsia" w:ascii="宋体" w:hAnsi="宋体" w:eastAsia="宋体" w:cs="Times New Roman"/>
          <w:color w:val="auto"/>
          <w:sz w:val="21"/>
          <w:szCs w:val="21"/>
        </w:rPr>
        <w:t>说明：1.法定代表人为企业事业单位、国家机关、社会团体的主要行政负责人</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2.内容必须填写真实、清楚、涂改无效，不得转让、买卖</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lang w:val="en-US" w:eastAsia="zh-CN"/>
        </w:rPr>
        <w:t>3</w:t>
      </w:r>
      <w:r>
        <w:rPr>
          <w:rFonts w:hint="eastAsia" w:ascii="宋体" w:hAnsi="宋体" w:eastAsia="宋体" w:cs="Times New Roman"/>
          <w:color w:val="auto"/>
          <w:sz w:val="21"/>
          <w:szCs w:val="21"/>
        </w:rPr>
        <w:t>.将此证明书提交对方作为合同附件</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lang w:val="en-US" w:eastAsia="zh-CN"/>
        </w:rPr>
        <w:t>4</w:t>
      </w:r>
      <w:r>
        <w:rPr>
          <w:rFonts w:hint="eastAsia" w:ascii="宋体" w:hAnsi="宋体" w:eastAsia="宋体" w:cs="Times New Roman"/>
          <w:color w:val="auto"/>
          <w:sz w:val="21"/>
          <w:szCs w:val="21"/>
        </w:rPr>
        <w:t>.授权权限：全权代表本公司参与上述采购项目的报价/谈判响应，负责提供与签署确认一切文书资料，以及向贵方递交的任何补充承诺</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5.有效期限：与本公司报价/响应文件中标注的报价/谈判有效期相同，自本单位盖公章之日起生效</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6.报价/谈判签字代表为法定代表人，则本表不适用。</w:t>
      </w:r>
    </w:p>
    <w:p>
      <w:pPr>
        <w:kinsoku/>
        <w:overflowPunct/>
        <w:topLinePunct w:val="0"/>
        <w:bidi w:val="0"/>
        <w:spacing w:line="360" w:lineRule="auto"/>
        <w:ind w:firstLine="420"/>
        <w:outlineLvl w:val="9"/>
        <w:rPr>
          <w:rFonts w:hAnsi="宋体"/>
          <w:color w:val="auto"/>
          <w:sz w:val="21"/>
          <w:szCs w:val="21"/>
          <w:u w:val="single"/>
        </w:rPr>
      </w:pPr>
      <w:r>
        <w:rPr>
          <w:rFonts w:hAnsi="宋体"/>
          <w:color w:val="auto"/>
          <w:sz w:val="21"/>
          <w:szCs w:val="21"/>
          <w:u w:val="single"/>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218440</wp:posOffset>
                </wp:positionV>
                <wp:extent cx="2543175" cy="1584325"/>
                <wp:effectExtent l="4445" t="4445" r="5080" b="11430"/>
                <wp:wrapNone/>
                <wp:docPr id="3" name="AutoShape 3"/>
                <wp:cNvGraphicFramePr/>
                <a:graphic xmlns:a="http://schemas.openxmlformats.org/drawingml/2006/main">
                  <a:graphicData uri="http://schemas.microsoft.com/office/word/2010/wordprocessingShape">
                    <wps:wsp>
                      <wps:cNvSpPr/>
                      <wps:spPr>
                        <a:xfrm>
                          <a:off x="0" y="0"/>
                          <a:ext cx="25431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Ansi="宋体"/>
                                <w:szCs w:val="21"/>
                              </w:rPr>
                            </w:pPr>
                          </w:p>
                          <w:p>
                            <w:pPr>
                              <w:rPr>
                                <w:rFonts w:hAnsi="宋体"/>
                                <w:szCs w:val="21"/>
                              </w:rPr>
                            </w:pPr>
                          </w:p>
                          <w:p>
                            <w:pPr>
                              <w:jc w:val="center"/>
                              <w:rPr>
                                <w:szCs w:val="21"/>
                              </w:rPr>
                            </w:pPr>
                            <w:r>
                              <w:rPr>
                                <w:rFonts w:hint="eastAsia" w:hAnsi="宋体"/>
                                <w:szCs w:val="21"/>
                              </w:rPr>
                              <w:t>代理人身份证复印件（正反面）</w:t>
                            </w:r>
                          </w:p>
                        </w:txbxContent>
                      </wps:txbx>
                      <wps:bodyPr upright="1"/>
                    </wps:wsp>
                  </a:graphicData>
                </a:graphic>
              </wp:anchor>
            </w:drawing>
          </mc:Choice>
          <mc:Fallback>
            <w:pict>
              <v:shape id="AutoShape 3" o:spid="_x0000_s1026" o:spt="176" type="#_x0000_t176" style="position:absolute;left:0pt;margin-left:162pt;margin-top:17.2pt;height:124.75pt;width:200.25pt;z-index:251660288;mso-width-relative:page;mso-height-relative:page;" fillcolor="#FFFFFF" filled="t" stroked="t" coordsize="21600,21600" o:gfxdata="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t/q9dkAAAAKAQAADwAAAAAAAAABACAAAAAiAAAAZHJzL2Rvd25yZXYueG1sUEsBAhQAFAAAAAgA&#10;h07iQEfT+lzrAQAA9AMAAA4AAAAAAAAAAQAgAAAAKAEAAGRycy9lMm9Eb2MueG1sUEsFBgAAAAAG&#10;AAYAWQEAAIUFAAAAAA==&#10;">
                <v:fill on="t" focussize="0,0"/>
                <v:stroke color="#000000" joinstyle="miter"/>
                <v:imagedata o:title=""/>
                <o:lock v:ext="edit" aspectratio="f"/>
                <v:textbox>
                  <w:txbxContent>
                    <w:p>
                      <w:pPr>
                        <w:jc w:val="center"/>
                        <w:rPr>
                          <w:rFonts w:hAnsi="宋体"/>
                          <w:szCs w:val="21"/>
                        </w:rPr>
                      </w:pPr>
                    </w:p>
                    <w:p>
                      <w:pPr>
                        <w:rPr>
                          <w:rFonts w:hAnsi="宋体"/>
                          <w:szCs w:val="21"/>
                        </w:rPr>
                      </w:pPr>
                    </w:p>
                    <w:p>
                      <w:pPr>
                        <w:jc w:val="center"/>
                        <w:rPr>
                          <w:szCs w:val="21"/>
                        </w:rPr>
                      </w:pPr>
                      <w:r>
                        <w:rPr>
                          <w:rFonts w:hint="eastAsia" w:hAnsi="宋体"/>
                          <w:szCs w:val="21"/>
                        </w:rPr>
                        <w:t>代理人身份证复印件（正反面）</w:t>
                      </w:r>
                    </w:p>
                  </w:txbxContent>
                </v:textbox>
              </v:shape>
            </w:pict>
          </mc:Fallback>
        </mc:AlternateContent>
      </w:r>
    </w:p>
    <w:p>
      <w:pPr>
        <w:kinsoku/>
        <w:overflowPunct/>
        <w:topLinePunct w:val="0"/>
        <w:bidi w:val="0"/>
        <w:spacing w:line="360" w:lineRule="auto"/>
        <w:ind w:firstLine="420"/>
        <w:outlineLvl w:val="9"/>
        <w:rPr>
          <w:rFonts w:hAnsi="宋体"/>
          <w:color w:val="auto"/>
          <w:sz w:val="21"/>
          <w:szCs w:val="21"/>
          <w:u w:val="single"/>
        </w:rPr>
      </w:pPr>
    </w:p>
    <w:p>
      <w:pPr>
        <w:kinsoku/>
        <w:overflowPunct/>
        <w:topLinePunct w:val="0"/>
        <w:bidi w:val="0"/>
        <w:spacing w:line="360" w:lineRule="auto"/>
        <w:ind w:firstLine="420"/>
        <w:outlineLvl w:val="9"/>
        <w:rPr>
          <w:rFonts w:hAnsi="宋体"/>
          <w:color w:val="auto"/>
          <w:sz w:val="21"/>
          <w:szCs w:val="21"/>
          <w:u w:val="single"/>
        </w:rPr>
      </w:pPr>
    </w:p>
    <w:p>
      <w:pPr>
        <w:kinsoku/>
        <w:overflowPunct/>
        <w:topLinePunct w:val="0"/>
        <w:bidi w:val="0"/>
        <w:spacing w:line="360" w:lineRule="auto"/>
        <w:outlineLvl w:val="9"/>
        <w:rPr>
          <w:rFonts w:hAnsi="宋体"/>
          <w:b/>
          <w:color w:val="auto"/>
          <w:sz w:val="21"/>
          <w:szCs w:val="20"/>
        </w:rPr>
      </w:pPr>
      <w:r>
        <w:rPr>
          <w:b/>
          <w:bCs/>
          <w:color w:val="auto"/>
          <w:szCs w:val="21"/>
        </w:rPr>
        <w:br w:type="page"/>
      </w:r>
      <w:bookmarkStart w:id="65" w:name="_Toc10548703"/>
      <w:bookmarkStart w:id="66" w:name="_Toc382926907"/>
      <w:bookmarkStart w:id="67" w:name="_Toc382840855"/>
      <w:r>
        <w:rPr>
          <w:rFonts w:hint="eastAsia" w:hAnsi="宋体"/>
          <w:b/>
          <w:color w:val="auto"/>
          <w:sz w:val="21"/>
          <w:szCs w:val="20"/>
        </w:rPr>
        <w:t>附表2.</w:t>
      </w:r>
      <w:bookmarkEnd w:id="65"/>
      <w:r>
        <w:rPr>
          <w:rFonts w:hint="eastAsia" w:hAnsi="宋体"/>
          <w:b/>
          <w:color w:val="auto"/>
          <w:sz w:val="21"/>
          <w:szCs w:val="20"/>
        </w:rPr>
        <w:t xml:space="preserve">3 </w:t>
      </w:r>
      <w:r>
        <w:rPr>
          <w:rFonts w:hint="eastAsia" w:hAnsi="宋体"/>
          <w:b/>
          <w:color w:val="auto"/>
          <w:sz w:val="21"/>
          <w:szCs w:val="20"/>
          <w:lang w:eastAsia="zh-CN"/>
        </w:rPr>
        <w:t>响应保证金</w:t>
      </w:r>
      <w:r>
        <w:rPr>
          <w:rFonts w:hint="eastAsia" w:hAnsi="宋体"/>
          <w:b/>
          <w:color w:val="auto"/>
          <w:sz w:val="21"/>
          <w:szCs w:val="20"/>
        </w:rPr>
        <w:t>缴纳情况说明</w:t>
      </w:r>
      <w:bookmarkEnd w:id="66"/>
      <w:bookmarkEnd w:id="67"/>
    </w:p>
    <w:p>
      <w:pPr>
        <w:kinsoku/>
        <w:overflowPunct/>
        <w:topLinePunct w:val="0"/>
        <w:bidi w:val="0"/>
        <w:spacing w:line="360" w:lineRule="auto"/>
        <w:outlineLvl w:val="9"/>
        <w:rPr>
          <w:rFonts w:hAnsi="宋体"/>
          <w:b/>
          <w:color w:val="auto"/>
          <w:sz w:val="21"/>
          <w:szCs w:val="20"/>
        </w:rPr>
      </w:pPr>
    </w:p>
    <w:p>
      <w:pPr>
        <w:kinsoku/>
        <w:overflowPunct/>
        <w:topLinePunct w:val="0"/>
        <w:bidi w:val="0"/>
        <w:spacing w:line="360" w:lineRule="auto"/>
        <w:jc w:val="center"/>
        <w:outlineLvl w:val="9"/>
        <w:rPr>
          <w:rFonts w:hAnsi="宋体"/>
          <w:b/>
          <w:color w:val="auto"/>
          <w:sz w:val="28"/>
          <w:szCs w:val="28"/>
        </w:rPr>
      </w:pPr>
      <w:bookmarkStart w:id="68" w:name="_Toc10548704"/>
      <w:r>
        <w:rPr>
          <w:rFonts w:hint="eastAsia" w:hAnsi="宋体"/>
          <w:b/>
          <w:color w:val="auto"/>
          <w:sz w:val="28"/>
          <w:szCs w:val="28"/>
          <w:lang w:eastAsia="zh-CN"/>
        </w:rPr>
        <w:t>响应保证金</w:t>
      </w:r>
      <w:r>
        <w:rPr>
          <w:rFonts w:hint="eastAsia" w:hAnsi="宋体"/>
          <w:b/>
          <w:color w:val="auto"/>
          <w:sz w:val="28"/>
          <w:szCs w:val="28"/>
        </w:rPr>
        <w:t>缴纳情况说明（如有）</w:t>
      </w:r>
    </w:p>
    <w:p>
      <w:pPr>
        <w:kinsoku/>
        <w:overflowPunct/>
        <w:topLinePunct w:val="0"/>
        <w:bidi w:val="0"/>
        <w:spacing w:line="360" w:lineRule="auto"/>
        <w:outlineLvl w:val="9"/>
        <w:rPr>
          <w:rFonts w:hAnsi="宋体"/>
          <w:color w:val="auto"/>
          <w:sz w:val="21"/>
          <w:szCs w:val="21"/>
        </w:rPr>
      </w:pPr>
    </w:p>
    <w:p>
      <w:pPr>
        <w:kinsoku/>
        <w:overflowPunct/>
        <w:topLinePunct w:val="0"/>
        <w:bidi w:val="0"/>
        <w:spacing w:line="360" w:lineRule="auto"/>
        <w:outlineLvl w:val="9"/>
        <w:rPr>
          <w:rFonts w:hAnsi="宋体"/>
          <w:b/>
          <w:color w:val="auto"/>
          <w:sz w:val="21"/>
          <w:szCs w:val="21"/>
        </w:rPr>
      </w:pPr>
      <w:bookmarkStart w:id="69" w:name="_Toc382926908"/>
      <w:bookmarkStart w:id="70" w:name="_Toc382840856"/>
      <w:r>
        <w:rPr>
          <w:rFonts w:hint="eastAsia" w:hAnsi="宋体"/>
          <w:b/>
          <w:color w:val="auto"/>
          <w:sz w:val="21"/>
          <w:szCs w:val="21"/>
        </w:rPr>
        <w:t>致：</w:t>
      </w:r>
      <w:r>
        <w:rPr>
          <w:rFonts w:hint="eastAsia" w:hAnsi="宋体"/>
          <w:b/>
          <w:color w:val="auto"/>
          <w:sz w:val="21"/>
          <w:szCs w:val="21"/>
          <w:lang w:eastAsia="zh-CN"/>
        </w:rPr>
        <w:t>南方医科大学第七附属医院</w:t>
      </w:r>
      <w:r>
        <w:rPr>
          <w:rFonts w:hint="eastAsia" w:hAnsi="宋体"/>
          <w:b/>
          <w:color w:val="auto"/>
          <w:sz w:val="21"/>
          <w:szCs w:val="21"/>
        </w:rPr>
        <w:t xml:space="preserve"> / 广东远东招标代理有限公司</w:t>
      </w:r>
    </w:p>
    <w:p>
      <w:pPr>
        <w:kinsoku/>
        <w:overflowPunct/>
        <w:topLinePunct w:val="0"/>
        <w:bidi w:val="0"/>
        <w:spacing w:line="360" w:lineRule="auto"/>
        <w:ind w:firstLine="420" w:firstLineChars="200"/>
        <w:outlineLvl w:val="9"/>
        <w:rPr>
          <w:rFonts w:hAnsi="宋体"/>
          <w:color w:val="auto"/>
          <w:sz w:val="21"/>
          <w:szCs w:val="21"/>
        </w:rPr>
      </w:pPr>
    </w:p>
    <w:p>
      <w:pPr>
        <w:kinsoku/>
        <w:overflowPunct/>
        <w:topLinePunct w:val="0"/>
        <w:bidi w:val="0"/>
        <w:spacing w:line="360" w:lineRule="auto"/>
        <w:ind w:firstLine="420" w:firstLineChars="200"/>
        <w:jc w:val="both"/>
        <w:outlineLvl w:val="9"/>
        <w:rPr>
          <w:rFonts w:hAnsi="宋体"/>
          <w:color w:val="auto"/>
          <w:sz w:val="21"/>
          <w:szCs w:val="21"/>
        </w:rPr>
      </w:pPr>
      <w:r>
        <w:rPr>
          <w:rFonts w:hint="eastAsia" w:hAnsi="宋体"/>
          <w:color w:val="auto"/>
          <w:sz w:val="21"/>
          <w:szCs w:val="21"/>
        </w:rPr>
        <w:t>本单位已按“</w:t>
      </w:r>
      <w:r>
        <w:rPr>
          <w:rFonts w:hint="eastAsia"/>
          <w:color w:val="auto"/>
          <w:sz w:val="21"/>
          <w:szCs w:val="21"/>
          <w:u w:val="single"/>
          <w:lang w:eastAsia="zh-CN"/>
        </w:rPr>
        <w:t>洗衣房洗涤用品采购项目（第二次）</w:t>
      </w:r>
      <w:r>
        <w:rPr>
          <w:rFonts w:hint="eastAsia"/>
          <w:color w:val="auto"/>
          <w:sz w:val="21"/>
          <w:szCs w:val="21"/>
        </w:rPr>
        <w:t>”</w:t>
      </w:r>
      <w:r>
        <w:rPr>
          <w:rFonts w:hint="eastAsia" w:hAnsi="宋体"/>
          <w:color w:val="auto"/>
          <w:sz w:val="21"/>
          <w:szCs w:val="21"/>
        </w:rPr>
        <w:t>（项目编号：</w:t>
      </w:r>
      <w:r>
        <w:rPr>
          <w:rFonts w:hint="eastAsia" w:hAnsi="宋体"/>
          <w:color w:val="auto"/>
          <w:sz w:val="21"/>
          <w:szCs w:val="21"/>
          <w:lang w:eastAsia="zh-CN"/>
        </w:rPr>
        <w:t>NFQYCG2023002</w:t>
      </w:r>
      <w:r>
        <w:rPr>
          <w:rFonts w:hint="eastAsia" w:hAnsi="宋体"/>
          <w:color w:val="auto"/>
          <w:sz w:val="21"/>
          <w:szCs w:val="21"/>
        </w:rPr>
        <w:t>）的谈判文件要求，于</w:t>
      </w:r>
      <w:r>
        <w:rPr>
          <w:rFonts w:hint="eastAsia" w:hAnsi="宋体"/>
          <w:color w:val="auto"/>
          <w:sz w:val="21"/>
          <w:szCs w:val="21"/>
          <w:u w:val="single"/>
        </w:rPr>
        <w:t>报价截止时间前</w:t>
      </w:r>
      <w:r>
        <w:rPr>
          <w:rFonts w:hint="eastAsia" w:hAnsi="宋体"/>
          <w:color w:val="auto"/>
          <w:sz w:val="21"/>
          <w:szCs w:val="21"/>
        </w:rPr>
        <w:t>以</w:t>
      </w:r>
      <w:r>
        <w:rPr>
          <w:rFonts w:hint="eastAsia" w:hAnsi="宋体"/>
          <w:color w:val="auto"/>
          <w:sz w:val="21"/>
          <w:szCs w:val="21"/>
          <w:u w:val="single"/>
        </w:rPr>
        <w:t xml:space="preserve">           （付款形式）</w:t>
      </w:r>
      <w:r>
        <w:rPr>
          <w:rFonts w:hint="eastAsia" w:hAnsi="宋体"/>
          <w:color w:val="auto"/>
          <w:sz w:val="21"/>
          <w:szCs w:val="21"/>
        </w:rPr>
        <w:t>方式汇入指定账户（</w:t>
      </w:r>
      <w:r>
        <w:rPr>
          <w:rFonts w:hint="eastAsia" w:hAnsi="宋体"/>
          <w:color w:val="auto"/>
          <w:sz w:val="21"/>
          <w:szCs w:val="21"/>
          <w:u w:val="single"/>
        </w:rPr>
        <w:t xml:space="preserve">账户名称：      ，账号：      ,开户银行：          </w:t>
      </w:r>
      <w:r>
        <w:rPr>
          <w:rFonts w:hint="eastAsia" w:hAnsi="宋体"/>
          <w:color w:val="auto"/>
          <w:sz w:val="21"/>
          <w:szCs w:val="21"/>
        </w:rPr>
        <w:t>）。</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本单位</w:t>
      </w:r>
      <w:r>
        <w:rPr>
          <w:rFonts w:hint="eastAsia" w:hAnsi="宋体"/>
          <w:color w:val="auto"/>
          <w:sz w:val="21"/>
          <w:szCs w:val="21"/>
          <w:lang w:eastAsia="zh-CN"/>
        </w:rPr>
        <w:t>响应保证金</w:t>
      </w:r>
      <w:r>
        <w:rPr>
          <w:rFonts w:hint="eastAsia" w:hAnsi="宋体"/>
          <w:color w:val="auto"/>
          <w:sz w:val="21"/>
          <w:szCs w:val="21"/>
        </w:rPr>
        <w:t>的缴纳情况：（附－</w:t>
      </w:r>
      <w:r>
        <w:rPr>
          <w:rFonts w:hint="eastAsia" w:hAnsi="宋体"/>
          <w:color w:val="auto"/>
          <w:sz w:val="21"/>
          <w:szCs w:val="21"/>
          <w:lang w:eastAsia="zh-CN"/>
        </w:rPr>
        <w:t>响应保证金</w:t>
      </w:r>
      <w:r>
        <w:rPr>
          <w:rFonts w:hint="eastAsia" w:hAnsi="宋体"/>
          <w:color w:val="auto"/>
          <w:sz w:val="21"/>
          <w:szCs w:val="21"/>
        </w:rPr>
        <w:t>缴纳凭证-基本户开户许可）</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汇出（或缴纳）时间：</w:t>
      </w:r>
      <w:r>
        <w:rPr>
          <w:rFonts w:hint="eastAsia" w:hAnsi="宋体"/>
          <w:color w:val="auto"/>
          <w:sz w:val="21"/>
          <w:szCs w:val="21"/>
          <w:u w:val="single"/>
        </w:rPr>
        <w:t xml:space="preserve">     年    月   日</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汇款（或缴纳）金额：（大写）人民币元（小写：¥元）</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汇款账户名称：</w:t>
      </w:r>
      <w:r>
        <w:rPr>
          <w:rFonts w:hint="eastAsia" w:hAnsi="宋体"/>
          <w:color w:val="auto"/>
          <w:sz w:val="21"/>
          <w:szCs w:val="21"/>
          <w:u w:val="single"/>
        </w:rPr>
        <w:t xml:space="preserve">  （必须是报价时使用的账户名，使用转账或汇票时填写）   </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账    号：</w:t>
      </w:r>
      <w:r>
        <w:rPr>
          <w:rFonts w:hint="eastAsia" w:hAnsi="宋体"/>
          <w:color w:val="auto"/>
          <w:sz w:val="21"/>
          <w:szCs w:val="21"/>
          <w:u w:val="single"/>
        </w:rPr>
        <w:t xml:space="preserve">      （必须是报价时使用的账号，使用转账或汇票时填写）     </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开户银行：</w:t>
      </w:r>
      <w:r>
        <w:rPr>
          <w:rFonts w:hint="eastAsia" w:hAnsi="宋体"/>
          <w:color w:val="auto"/>
          <w:sz w:val="21"/>
          <w:szCs w:val="21"/>
          <w:u w:val="single"/>
        </w:rPr>
        <w:t xml:space="preserve">    省    市                       （使用转账或汇票时填写）</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本单位谨承诺上述资料是正确、真实的，如因上述证明与事实不符导致的一切损失，本单位保证承担赔偿等一切法律责任。</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lang w:eastAsia="zh-CN"/>
        </w:rPr>
        <w:t>响应保证金</w:t>
      </w:r>
      <w:r>
        <w:rPr>
          <w:rFonts w:hint="eastAsia" w:hAnsi="宋体"/>
          <w:color w:val="auto"/>
          <w:sz w:val="21"/>
          <w:szCs w:val="21"/>
        </w:rPr>
        <w:t>退回时，请按上述资料退回。</w:t>
      </w:r>
    </w:p>
    <w:p>
      <w:pPr>
        <w:kinsoku/>
        <w:overflowPunct/>
        <w:topLinePunct w:val="0"/>
        <w:bidi w:val="0"/>
        <w:spacing w:line="360" w:lineRule="auto"/>
        <w:ind w:firstLine="420" w:firstLineChars="200"/>
        <w:outlineLvl w:val="9"/>
        <w:rPr>
          <w:rFonts w:hAnsi="宋体"/>
          <w:color w:val="auto"/>
          <w:sz w:val="21"/>
          <w:szCs w:val="21"/>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pacing w:line="360" w:lineRule="auto"/>
        <w:ind w:right="718" w:rightChars="299"/>
        <w:jc w:val="right"/>
        <w:outlineLvl w:val="9"/>
        <w:rPr>
          <w:color w:val="auto"/>
        </w:rPr>
      </w:pPr>
    </w:p>
    <w:p>
      <w:pPr>
        <w:kinsoku/>
        <w:overflowPunct/>
        <w:topLinePunct w:val="0"/>
        <w:bidi w:val="0"/>
        <w:spacing w:beforeLines="50" w:line="360" w:lineRule="auto"/>
        <w:outlineLvl w:val="9"/>
        <w:rPr>
          <w:rFonts w:hAnsi="宋体"/>
          <w:color w:val="auto"/>
          <w:sz w:val="21"/>
          <w:szCs w:val="21"/>
        </w:rPr>
      </w:pPr>
      <w:r>
        <w:rPr>
          <w:rFonts w:hint="eastAsia" w:hAnsi="宋体"/>
          <w:color w:val="auto"/>
          <w:sz w:val="21"/>
          <w:szCs w:val="21"/>
        </w:rPr>
        <w:t>附：我方</w:t>
      </w:r>
      <w:r>
        <w:rPr>
          <w:rFonts w:hint="eastAsia" w:hAnsi="宋体"/>
          <w:color w:val="auto"/>
          <w:sz w:val="21"/>
          <w:szCs w:val="21"/>
          <w:lang w:eastAsia="zh-CN"/>
        </w:rPr>
        <w:t>响应保证金</w:t>
      </w:r>
      <w:r>
        <w:rPr>
          <w:rFonts w:hint="eastAsia" w:hAnsi="宋体"/>
          <w:color w:val="auto"/>
          <w:sz w:val="21"/>
          <w:szCs w:val="21"/>
        </w:rPr>
        <w:t>汇款（或缴纳）凭证</w:t>
      </w:r>
    </w:p>
    <w:tbl>
      <w:tblPr>
        <w:tblStyle w:val="21"/>
        <w:tblW w:w="99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4" w:hRule="atLeast"/>
        </w:trPr>
        <w:tc>
          <w:tcPr>
            <w:tcW w:w="9960" w:type="dxa"/>
            <w:vAlign w:val="center"/>
          </w:tcPr>
          <w:p>
            <w:pPr>
              <w:tabs>
                <w:tab w:val="left" w:pos="3885"/>
              </w:tabs>
              <w:kinsoku/>
              <w:overflowPunct/>
              <w:topLinePunct w:val="0"/>
              <w:bidi w:val="0"/>
              <w:spacing w:line="360" w:lineRule="auto"/>
              <w:jc w:val="center"/>
              <w:outlineLvl w:val="9"/>
              <w:rPr>
                <w:rFonts w:hAnsi="宋体"/>
                <w:color w:val="auto"/>
                <w:sz w:val="21"/>
                <w:szCs w:val="21"/>
              </w:rPr>
            </w:pPr>
            <w:r>
              <w:rPr>
                <w:rFonts w:hint="eastAsia" w:hAnsi="宋体"/>
                <w:color w:val="auto"/>
                <w:sz w:val="21"/>
                <w:szCs w:val="21"/>
              </w:rPr>
              <w:t>（粘贴汇款单或转账凭证凭证复印件或由采购代理机构出具的</w:t>
            </w:r>
            <w:r>
              <w:rPr>
                <w:rFonts w:hint="eastAsia" w:hAnsi="宋体"/>
                <w:color w:val="auto"/>
                <w:sz w:val="21"/>
                <w:szCs w:val="21"/>
                <w:lang w:eastAsia="zh-CN"/>
              </w:rPr>
              <w:t>响应保证金</w:t>
            </w:r>
            <w:r>
              <w:rPr>
                <w:rFonts w:hint="eastAsia" w:hAnsi="宋体"/>
                <w:color w:val="auto"/>
                <w:sz w:val="21"/>
                <w:szCs w:val="21"/>
              </w:rPr>
              <w:t>收据复印件，或是直接把凭证复印到此张纸上，并在骑缝上加盖</w:t>
            </w:r>
            <w:r>
              <w:rPr>
                <w:rFonts w:hint="eastAsia" w:hAnsi="宋体"/>
                <w:color w:val="auto"/>
                <w:sz w:val="21"/>
                <w:szCs w:val="21"/>
                <w:lang w:eastAsia="zh-CN"/>
              </w:rPr>
              <w:t>响应供应商</w:t>
            </w:r>
            <w:r>
              <w:rPr>
                <w:rFonts w:hint="eastAsia" w:hAnsi="宋体"/>
                <w:color w:val="auto"/>
                <w:sz w:val="21"/>
                <w:szCs w:val="21"/>
              </w:rPr>
              <w:t>公章）</w:t>
            </w:r>
          </w:p>
        </w:tc>
      </w:tr>
    </w:tbl>
    <w:p>
      <w:pPr>
        <w:kinsoku/>
        <w:overflowPunct/>
        <w:topLinePunct w:val="0"/>
        <w:bidi w:val="0"/>
        <w:spacing w:before="312" w:after="312" w:line="480" w:lineRule="exact"/>
        <w:outlineLvl w:val="9"/>
        <w:rPr>
          <w:rFonts w:hAnsi="宋体"/>
          <w:b/>
          <w:color w:val="auto"/>
          <w:sz w:val="21"/>
          <w:szCs w:val="20"/>
        </w:rPr>
      </w:pPr>
      <w:r>
        <w:rPr>
          <w:rFonts w:hint="eastAsia" w:hAnsi="宋体"/>
          <w:b/>
          <w:color w:val="auto"/>
          <w:sz w:val="21"/>
          <w:szCs w:val="20"/>
        </w:rPr>
        <w:t>附表2.4 证明</w:t>
      </w:r>
      <w:r>
        <w:rPr>
          <w:rFonts w:hint="eastAsia" w:hAnsi="宋体"/>
          <w:b/>
          <w:color w:val="auto"/>
          <w:sz w:val="21"/>
          <w:szCs w:val="20"/>
          <w:lang w:eastAsia="zh-CN"/>
        </w:rPr>
        <w:t>响应供应商</w:t>
      </w:r>
      <w:r>
        <w:rPr>
          <w:rFonts w:hint="eastAsia" w:hAnsi="宋体"/>
          <w:b/>
          <w:color w:val="auto"/>
          <w:sz w:val="21"/>
          <w:szCs w:val="20"/>
        </w:rPr>
        <w:t>的合格性的证明文件格式</w:t>
      </w:r>
      <w:bookmarkEnd w:id="69"/>
      <w:bookmarkEnd w:id="70"/>
    </w:p>
    <w:p>
      <w:pPr>
        <w:kinsoku/>
        <w:overflowPunct/>
        <w:topLinePunct w:val="0"/>
        <w:autoSpaceDE/>
        <w:autoSpaceDN/>
        <w:bidi w:val="0"/>
        <w:adjustRightInd/>
        <w:ind w:firstLine="480"/>
        <w:jc w:val="center"/>
        <w:outlineLvl w:val="9"/>
        <w:rPr>
          <w:rFonts w:ascii="Calibri" w:hAnsi="Calibri"/>
          <w:color w:val="auto"/>
          <w:kern w:val="2"/>
          <w:sz w:val="21"/>
        </w:rPr>
      </w:pPr>
      <w:r>
        <w:rPr>
          <w:rFonts w:ascii="Calibri" w:hAnsi="Calibri"/>
          <w:color w:val="auto"/>
          <w:kern w:val="2"/>
          <w:sz w:val="21"/>
        </w:rPr>
        <w:t>设备及专业技术能力情况表</w:t>
      </w:r>
    </w:p>
    <w:tbl>
      <w:tblPr>
        <w:tblStyle w:val="21"/>
        <w:tblW w:w="923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8"/>
        <w:gridCol w:w="2308"/>
        <w:gridCol w:w="2308"/>
        <w:gridCol w:w="230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2" w:type="dxa"/>
            <w:gridSpan w:val="4"/>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我单位为本项目实施提供以下设备和专业技术人员：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序号</w:t>
            </w:r>
          </w:p>
        </w:tc>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设备名称和专业技术人员</w:t>
            </w:r>
          </w:p>
        </w:tc>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数量及单位</w:t>
            </w:r>
          </w:p>
        </w:tc>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1</w:t>
            </w: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2</w:t>
            </w: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3</w:t>
            </w: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308" w:type="dxa"/>
          </w:tcPr>
          <w:p>
            <w:pPr>
              <w:kinsoku/>
              <w:overflowPunct/>
              <w:topLinePunct w:val="0"/>
              <w:autoSpaceDE/>
              <w:autoSpaceDN/>
              <w:bidi w:val="0"/>
              <w:adjustRightInd/>
              <w:jc w:val="both"/>
              <w:outlineLvl w:val="9"/>
              <w:rPr>
                <w:rFonts w:ascii="Calibri" w:hAnsi="Calibri"/>
                <w:color w:val="auto"/>
                <w:kern w:val="2"/>
                <w:sz w:val="21"/>
              </w:rPr>
            </w:pPr>
            <w:r>
              <w:rPr>
                <w:rFonts w:ascii="Calibri" w:hAnsi="Calibri"/>
                <w:color w:val="auto"/>
                <w:kern w:val="2"/>
                <w:sz w:val="21"/>
              </w:rPr>
              <w:t>…</w:t>
            </w: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c>
          <w:tcPr>
            <w:tcW w:w="2308" w:type="dxa"/>
          </w:tcPr>
          <w:p>
            <w:pPr>
              <w:kinsoku/>
              <w:overflowPunct/>
              <w:topLinePunct w:val="0"/>
              <w:autoSpaceDE/>
              <w:autoSpaceDN/>
              <w:bidi w:val="0"/>
              <w:adjustRightInd/>
              <w:jc w:val="both"/>
              <w:outlineLvl w:val="9"/>
              <w:rPr>
                <w:rFonts w:ascii="Calibri" w:hAnsi="Calibri"/>
                <w:color w:val="auto"/>
                <w:kern w:val="2"/>
                <w:sz w:val="21"/>
              </w:rPr>
            </w:pPr>
          </w:p>
        </w:tc>
      </w:tr>
    </w:tbl>
    <w:p>
      <w:pPr>
        <w:kinsoku/>
        <w:overflowPunct/>
        <w:topLinePunct w:val="0"/>
        <w:bidi w:val="0"/>
        <w:outlineLvl w:val="9"/>
        <w:rPr>
          <w:color w:val="auto"/>
        </w:rPr>
      </w:pPr>
    </w:p>
    <w:p>
      <w:pPr>
        <w:kinsoku/>
        <w:overflowPunct/>
        <w:topLinePunct w:val="0"/>
        <w:bidi w:val="0"/>
        <w:spacing w:after="120" w:line="480" w:lineRule="exact"/>
        <w:outlineLvl w:val="9"/>
        <w:rPr>
          <w:rFonts w:hAnsi="宋体"/>
          <w:b/>
          <w:color w:val="auto"/>
          <w:sz w:val="21"/>
          <w:szCs w:val="20"/>
        </w:rPr>
      </w:pPr>
      <w:bookmarkStart w:id="71" w:name="_Toc382926909"/>
      <w:bookmarkStart w:id="72" w:name="_Toc382840857"/>
      <w:r>
        <w:rPr>
          <w:rFonts w:hint="eastAsia" w:hAnsi="宋体"/>
          <w:b/>
          <w:color w:val="auto"/>
          <w:sz w:val="21"/>
          <w:szCs w:val="20"/>
        </w:rPr>
        <w:t xml:space="preserve">附表2.4.1  </w:t>
      </w:r>
      <w:r>
        <w:rPr>
          <w:rFonts w:hint="eastAsia" w:hAnsi="宋体"/>
          <w:b/>
          <w:color w:val="auto"/>
          <w:sz w:val="21"/>
          <w:szCs w:val="20"/>
          <w:lang w:eastAsia="zh-CN"/>
        </w:rPr>
        <w:t>响应供应商</w:t>
      </w:r>
      <w:r>
        <w:rPr>
          <w:rFonts w:hint="eastAsia" w:hAnsi="宋体"/>
          <w:b/>
          <w:color w:val="auto"/>
          <w:sz w:val="21"/>
          <w:szCs w:val="20"/>
        </w:rPr>
        <w:t>基本情况表格式</w:t>
      </w:r>
      <w:bookmarkEnd w:id="71"/>
      <w:bookmarkEnd w:id="72"/>
    </w:p>
    <w:p>
      <w:pPr>
        <w:kinsoku/>
        <w:overflowPunct/>
        <w:topLinePunct w:val="0"/>
        <w:bidi w:val="0"/>
        <w:spacing w:line="360" w:lineRule="auto"/>
        <w:jc w:val="center"/>
        <w:outlineLvl w:val="9"/>
        <w:rPr>
          <w:rFonts w:hAnsi="宋体"/>
          <w:b/>
          <w:color w:val="auto"/>
          <w:sz w:val="30"/>
        </w:rPr>
      </w:pPr>
    </w:p>
    <w:p>
      <w:pPr>
        <w:kinsoku/>
        <w:overflowPunct/>
        <w:topLinePunct w:val="0"/>
        <w:bidi w:val="0"/>
        <w:spacing w:line="360" w:lineRule="auto"/>
        <w:jc w:val="center"/>
        <w:outlineLvl w:val="9"/>
        <w:rPr>
          <w:rFonts w:hAnsi="宋体"/>
          <w:b/>
          <w:color w:val="auto"/>
          <w:sz w:val="30"/>
        </w:rPr>
      </w:pPr>
      <w:r>
        <w:rPr>
          <w:rFonts w:hint="eastAsia" w:hAnsi="宋体"/>
          <w:b/>
          <w:color w:val="auto"/>
          <w:sz w:val="30"/>
          <w:lang w:eastAsia="zh-CN"/>
        </w:rPr>
        <w:t>响应供应商</w:t>
      </w:r>
      <w:r>
        <w:rPr>
          <w:rFonts w:hint="eastAsia" w:hAnsi="宋体"/>
          <w:b/>
          <w:color w:val="auto"/>
          <w:sz w:val="30"/>
        </w:rPr>
        <w:t>基本情况表</w:t>
      </w:r>
    </w:p>
    <w:tbl>
      <w:tblPr>
        <w:tblStyle w:val="21"/>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65"/>
        <w:gridCol w:w="1118"/>
        <w:gridCol w:w="894"/>
        <w:gridCol w:w="992"/>
        <w:gridCol w:w="1226"/>
        <w:gridCol w:w="1326"/>
        <w:gridCol w:w="99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4" w:type="dxa"/>
            <w:tcBorders>
              <w:top w:val="double" w:color="auto" w:sz="4" w:space="0"/>
              <w:left w:val="double" w:color="auto" w:sz="4" w:space="0"/>
            </w:tcBorders>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单位名称</w:t>
            </w:r>
          </w:p>
        </w:tc>
        <w:tc>
          <w:tcPr>
            <w:tcW w:w="2083" w:type="dxa"/>
            <w:gridSpan w:val="2"/>
            <w:tcBorders>
              <w:top w:val="double" w:color="auto" w:sz="4" w:space="0"/>
            </w:tcBorders>
            <w:vAlign w:val="center"/>
          </w:tcPr>
          <w:p>
            <w:pPr>
              <w:tabs>
                <w:tab w:val="left" w:pos="4320"/>
              </w:tabs>
              <w:kinsoku/>
              <w:overflowPunct/>
              <w:topLinePunct w:val="0"/>
              <w:bidi w:val="0"/>
              <w:outlineLvl w:val="9"/>
              <w:rPr>
                <w:rFonts w:hAnsi="宋体"/>
                <w:color w:val="auto"/>
                <w:sz w:val="18"/>
                <w:szCs w:val="18"/>
              </w:rPr>
            </w:pPr>
          </w:p>
        </w:tc>
        <w:tc>
          <w:tcPr>
            <w:tcW w:w="894" w:type="dxa"/>
            <w:tcBorders>
              <w:top w:val="double" w:color="auto" w:sz="4" w:space="0"/>
            </w:tcBorders>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电话</w:t>
            </w:r>
          </w:p>
        </w:tc>
        <w:tc>
          <w:tcPr>
            <w:tcW w:w="992" w:type="dxa"/>
            <w:tcBorders>
              <w:top w:val="double" w:color="auto" w:sz="4" w:space="0"/>
            </w:tcBorders>
            <w:vAlign w:val="center"/>
          </w:tcPr>
          <w:p>
            <w:pPr>
              <w:tabs>
                <w:tab w:val="left" w:pos="4320"/>
              </w:tabs>
              <w:kinsoku/>
              <w:overflowPunct/>
              <w:topLinePunct w:val="0"/>
              <w:bidi w:val="0"/>
              <w:outlineLvl w:val="9"/>
              <w:rPr>
                <w:rFonts w:hAnsi="宋体"/>
                <w:color w:val="auto"/>
                <w:sz w:val="18"/>
                <w:szCs w:val="18"/>
              </w:rPr>
            </w:pPr>
          </w:p>
        </w:tc>
        <w:tc>
          <w:tcPr>
            <w:tcW w:w="1226" w:type="dxa"/>
            <w:tcBorders>
              <w:top w:val="double" w:color="auto" w:sz="4" w:space="0"/>
            </w:tcBorders>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法定代表人</w:t>
            </w:r>
          </w:p>
        </w:tc>
        <w:tc>
          <w:tcPr>
            <w:tcW w:w="1326" w:type="dxa"/>
            <w:tcBorders>
              <w:top w:val="double" w:color="auto" w:sz="4" w:space="0"/>
            </w:tcBorders>
            <w:vAlign w:val="center"/>
          </w:tcPr>
          <w:p>
            <w:pPr>
              <w:tabs>
                <w:tab w:val="left" w:pos="4320"/>
              </w:tabs>
              <w:kinsoku/>
              <w:overflowPunct/>
              <w:topLinePunct w:val="0"/>
              <w:bidi w:val="0"/>
              <w:outlineLvl w:val="9"/>
              <w:rPr>
                <w:rFonts w:hAnsi="宋体"/>
                <w:color w:val="auto"/>
                <w:sz w:val="18"/>
                <w:szCs w:val="18"/>
              </w:rPr>
            </w:pPr>
          </w:p>
        </w:tc>
        <w:tc>
          <w:tcPr>
            <w:tcW w:w="992" w:type="dxa"/>
            <w:tcBorders>
              <w:top w:val="double" w:color="auto" w:sz="4" w:space="0"/>
            </w:tcBorders>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职务</w:t>
            </w:r>
          </w:p>
        </w:tc>
        <w:tc>
          <w:tcPr>
            <w:tcW w:w="1134" w:type="dxa"/>
            <w:tcBorders>
              <w:top w:val="double" w:color="auto" w:sz="4" w:space="0"/>
              <w:right w:val="double" w:color="auto" w:sz="4" w:space="0"/>
            </w:tcBorders>
            <w:vAlign w:val="center"/>
          </w:tcPr>
          <w:p>
            <w:pPr>
              <w:tabs>
                <w:tab w:val="left" w:pos="4320"/>
              </w:tabs>
              <w:kinsoku/>
              <w:overflowPunct/>
              <w:topLinePunct w:val="0"/>
              <w:bidi w:val="0"/>
              <w:outlineLvl w:val="9"/>
              <w:rPr>
                <w:rFonts w:hAnsi="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4" w:type="dxa"/>
            <w:tcBorders>
              <w:left w:val="double" w:color="auto" w:sz="4" w:space="0"/>
            </w:tcBorders>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地址</w:t>
            </w:r>
          </w:p>
        </w:tc>
        <w:tc>
          <w:tcPr>
            <w:tcW w:w="2083" w:type="dxa"/>
            <w:gridSpan w:val="2"/>
            <w:vAlign w:val="center"/>
          </w:tcPr>
          <w:p>
            <w:pPr>
              <w:tabs>
                <w:tab w:val="left" w:pos="4320"/>
              </w:tabs>
              <w:kinsoku/>
              <w:overflowPunct/>
              <w:topLinePunct w:val="0"/>
              <w:bidi w:val="0"/>
              <w:outlineLvl w:val="9"/>
              <w:rPr>
                <w:rFonts w:hAnsi="宋体"/>
                <w:color w:val="auto"/>
                <w:sz w:val="18"/>
                <w:szCs w:val="18"/>
              </w:rPr>
            </w:pPr>
          </w:p>
        </w:tc>
        <w:tc>
          <w:tcPr>
            <w:tcW w:w="894" w:type="dxa"/>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传真</w:t>
            </w:r>
          </w:p>
        </w:tc>
        <w:tc>
          <w:tcPr>
            <w:tcW w:w="992" w:type="dxa"/>
            <w:vAlign w:val="center"/>
          </w:tcPr>
          <w:p>
            <w:pPr>
              <w:tabs>
                <w:tab w:val="left" w:pos="4320"/>
              </w:tabs>
              <w:kinsoku/>
              <w:overflowPunct/>
              <w:topLinePunct w:val="0"/>
              <w:bidi w:val="0"/>
              <w:outlineLvl w:val="9"/>
              <w:rPr>
                <w:rFonts w:hAnsi="宋体"/>
                <w:color w:val="auto"/>
                <w:sz w:val="18"/>
                <w:szCs w:val="18"/>
              </w:rPr>
            </w:pPr>
          </w:p>
        </w:tc>
        <w:tc>
          <w:tcPr>
            <w:tcW w:w="1226" w:type="dxa"/>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被授权人</w:t>
            </w:r>
          </w:p>
        </w:tc>
        <w:tc>
          <w:tcPr>
            <w:tcW w:w="1326" w:type="dxa"/>
            <w:vAlign w:val="center"/>
          </w:tcPr>
          <w:p>
            <w:pPr>
              <w:tabs>
                <w:tab w:val="left" w:pos="4320"/>
              </w:tabs>
              <w:kinsoku/>
              <w:overflowPunct/>
              <w:topLinePunct w:val="0"/>
              <w:bidi w:val="0"/>
              <w:outlineLvl w:val="9"/>
              <w:rPr>
                <w:rFonts w:hAnsi="宋体"/>
                <w:color w:val="auto"/>
                <w:sz w:val="18"/>
                <w:szCs w:val="18"/>
              </w:rPr>
            </w:pPr>
          </w:p>
        </w:tc>
        <w:tc>
          <w:tcPr>
            <w:tcW w:w="992" w:type="dxa"/>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职务</w:t>
            </w:r>
          </w:p>
        </w:tc>
        <w:tc>
          <w:tcPr>
            <w:tcW w:w="1134" w:type="dxa"/>
            <w:tcBorders>
              <w:right w:val="double" w:color="auto" w:sz="4" w:space="0"/>
            </w:tcBorders>
            <w:vAlign w:val="center"/>
          </w:tcPr>
          <w:p>
            <w:pPr>
              <w:tabs>
                <w:tab w:val="left" w:pos="4320"/>
              </w:tabs>
              <w:kinsoku/>
              <w:overflowPunct/>
              <w:topLinePunct w:val="0"/>
              <w:bidi w:val="0"/>
              <w:outlineLvl w:val="9"/>
              <w:rPr>
                <w:rFonts w:hAnsi="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4" w:type="dxa"/>
            <w:tcBorders>
              <w:left w:val="double" w:color="auto" w:sz="4" w:space="0"/>
            </w:tcBorders>
            <w:vAlign w:val="center"/>
          </w:tcPr>
          <w:p>
            <w:pPr>
              <w:tabs>
                <w:tab w:val="left" w:pos="4320"/>
              </w:tabs>
              <w:kinsoku/>
              <w:overflowPunct/>
              <w:topLinePunct w:val="0"/>
              <w:bidi w:val="0"/>
              <w:ind w:left="180" w:hanging="180" w:hangingChars="100"/>
              <w:outlineLvl w:val="9"/>
              <w:rPr>
                <w:rFonts w:hAnsi="宋体"/>
                <w:color w:val="auto"/>
                <w:sz w:val="18"/>
                <w:szCs w:val="18"/>
              </w:rPr>
            </w:pPr>
            <w:r>
              <w:rPr>
                <w:rFonts w:hint="eastAsia" w:hAnsi="宋体"/>
                <w:color w:val="auto"/>
                <w:sz w:val="18"/>
                <w:szCs w:val="18"/>
              </w:rPr>
              <w:t>一、单位简历及隶属关系</w:t>
            </w:r>
          </w:p>
        </w:tc>
        <w:tc>
          <w:tcPr>
            <w:tcW w:w="2977" w:type="dxa"/>
            <w:gridSpan w:val="3"/>
            <w:vAlign w:val="center"/>
          </w:tcPr>
          <w:p>
            <w:pPr>
              <w:tabs>
                <w:tab w:val="left" w:pos="4320"/>
              </w:tabs>
              <w:kinsoku/>
              <w:overflowPunct/>
              <w:topLinePunct w:val="0"/>
              <w:bidi w:val="0"/>
              <w:outlineLvl w:val="9"/>
              <w:rPr>
                <w:rFonts w:hAnsi="宋体"/>
                <w:color w:val="auto"/>
                <w:sz w:val="18"/>
                <w:szCs w:val="18"/>
              </w:rPr>
            </w:pPr>
          </w:p>
        </w:tc>
        <w:tc>
          <w:tcPr>
            <w:tcW w:w="992" w:type="dxa"/>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单位优势及特长</w:t>
            </w:r>
          </w:p>
        </w:tc>
        <w:tc>
          <w:tcPr>
            <w:tcW w:w="4678" w:type="dxa"/>
            <w:gridSpan w:val="4"/>
            <w:tcBorders>
              <w:right w:val="double" w:color="auto" w:sz="4" w:space="0"/>
            </w:tcBorders>
            <w:vAlign w:val="center"/>
          </w:tcPr>
          <w:p>
            <w:pPr>
              <w:tabs>
                <w:tab w:val="left" w:pos="4320"/>
              </w:tabs>
              <w:kinsoku/>
              <w:overflowPunct/>
              <w:topLinePunct w:val="0"/>
              <w:bidi w:val="0"/>
              <w:outlineLvl w:val="9"/>
              <w:rPr>
                <w:rFonts w:hAnsi="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1134" w:type="dxa"/>
            <w:vMerge w:val="restart"/>
            <w:tcBorders>
              <w:left w:val="double" w:color="auto" w:sz="4" w:space="0"/>
            </w:tcBorders>
            <w:vAlign w:val="center"/>
          </w:tcPr>
          <w:p>
            <w:pPr>
              <w:tabs>
                <w:tab w:val="left" w:pos="4320"/>
              </w:tabs>
              <w:kinsoku/>
              <w:overflowPunct/>
              <w:topLinePunct w:val="0"/>
              <w:bidi w:val="0"/>
              <w:ind w:left="200" w:hanging="199" w:hangingChars="111"/>
              <w:outlineLvl w:val="9"/>
              <w:rPr>
                <w:rFonts w:hAnsi="宋体"/>
                <w:color w:val="auto"/>
                <w:sz w:val="18"/>
                <w:szCs w:val="18"/>
              </w:rPr>
            </w:pPr>
            <w:r>
              <w:rPr>
                <w:rFonts w:hint="eastAsia" w:hAnsi="宋体"/>
                <w:color w:val="auto"/>
                <w:sz w:val="18"/>
                <w:szCs w:val="18"/>
              </w:rPr>
              <w:t>二、单位概况</w:t>
            </w:r>
          </w:p>
        </w:tc>
        <w:tc>
          <w:tcPr>
            <w:tcW w:w="965" w:type="dxa"/>
            <w:vMerge w:val="restart"/>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职工总数</w:t>
            </w:r>
          </w:p>
        </w:tc>
        <w:tc>
          <w:tcPr>
            <w:tcW w:w="1118" w:type="dxa"/>
            <w:vMerge w:val="restart"/>
            <w:vAlign w:val="center"/>
          </w:tcPr>
          <w:p>
            <w:pPr>
              <w:tabs>
                <w:tab w:val="left" w:pos="4320"/>
              </w:tabs>
              <w:kinsoku/>
              <w:overflowPunct/>
              <w:topLinePunct w:val="0"/>
              <w:bidi w:val="0"/>
              <w:jc w:val="right"/>
              <w:outlineLvl w:val="9"/>
              <w:rPr>
                <w:rFonts w:hAnsi="宋体"/>
                <w:color w:val="auto"/>
                <w:sz w:val="18"/>
                <w:szCs w:val="18"/>
              </w:rPr>
            </w:pPr>
            <w:r>
              <w:rPr>
                <w:rFonts w:hint="eastAsia" w:hAnsi="宋体"/>
                <w:color w:val="auto"/>
                <w:sz w:val="18"/>
                <w:szCs w:val="18"/>
              </w:rPr>
              <w:t>人</w:t>
            </w:r>
          </w:p>
        </w:tc>
        <w:tc>
          <w:tcPr>
            <w:tcW w:w="894" w:type="dxa"/>
            <w:vMerge w:val="restart"/>
            <w:vAlign w:val="center"/>
          </w:tcPr>
          <w:p>
            <w:pPr>
              <w:tabs>
                <w:tab w:val="left" w:pos="4320"/>
              </w:tabs>
              <w:kinsoku/>
              <w:overflowPunct/>
              <w:topLinePunct w:val="0"/>
              <w:bidi w:val="0"/>
              <w:outlineLvl w:val="9"/>
              <w:rPr>
                <w:rFonts w:hAnsi="宋体"/>
                <w:color w:val="auto"/>
                <w:sz w:val="18"/>
                <w:szCs w:val="18"/>
              </w:rPr>
            </w:pPr>
            <w:r>
              <w:rPr>
                <w:rFonts w:hint="eastAsia" w:hAnsi="宋体"/>
                <w:color w:val="auto"/>
                <w:sz w:val="18"/>
                <w:szCs w:val="18"/>
              </w:rPr>
              <w:t>上一年主要经济指标</w:t>
            </w:r>
          </w:p>
        </w:tc>
        <w:tc>
          <w:tcPr>
            <w:tcW w:w="992" w:type="dxa"/>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营业额</w:t>
            </w:r>
          </w:p>
        </w:tc>
        <w:tc>
          <w:tcPr>
            <w:tcW w:w="4678" w:type="dxa"/>
            <w:gridSpan w:val="4"/>
            <w:tcBorders>
              <w:right w:val="double" w:color="auto" w:sz="4" w:space="0"/>
            </w:tcBorders>
            <w:vAlign w:val="center"/>
          </w:tcPr>
          <w:p>
            <w:pPr>
              <w:tabs>
                <w:tab w:val="left" w:pos="4320"/>
              </w:tabs>
              <w:kinsoku/>
              <w:overflowPunct/>
              <w:topLinePunct w:val="0"/>
              <w:bidi w:val="0"/>
              <w:outlineLvl w:val="9"/>
              <w:rPr>
                <w:rFonts w:hAnsi="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 w:hRule="atLeast"/>
        </w:trPr>
        <w:tc>
          <w:tcPr>
            <w:tcW w:w="1134" w:type="dxa"/>
            <w:vMerge w:val="continue"/>
            <w:tcBorders>
              <w:left w:val="double" w:color="auto" w:sz="4" w:space="0"/>
            </w:tcBorders>
            <w:vAlign w:val="center"/>
          </w:tcPr>
          <w:p>
            <w:pPr>
              <w:tabs>
                <w:tab w:val="left" w:pos="4320"/>
              </w:tabs>
              <w:kinsoku/>
              <w:overflowPunct/>
              <w:topLinePunct w:val="0"/>
              <w:bidi w:val="0"/>
              <w:ind w:left="200" w:hanging="199" w:hangingChars="111"/>
              <w:outlineLvl w:val="9"/>
              <w:rPr>
                <w:rFonts w:hAnsi="宋体"/>
                <w:color w:val="auto"/>
                <w:sz w:val="18"/>
                <w:szCs w:val="18"/>
              </w:rPr>
            </w:pPr>
          </w:p>
        </w:tc>
        <w:tc>
          <w:tcPr>
            <w:tcW w:w="965" w:type="dxa"/>
            <w:vMerge w:val="continue"/>
            <w:vAlign w:val="center"/>
          </w:tcPr>
          <w:p>
            <w:pPr>
              <w:tabs>
                <w:tab w:val="left" w:pos="4320"/>
              </w:tabs>
              <w:kinsoku/>
              <w:overflowPunct/>
              <w:topLinePunct w:val="0"/>
              <w:bidi w:val="0"/>
              <w:jc w:val="center"/>
              <w:outlineLvl w:val="9"/>
              <w:rPr>
                <w:rFonts w:hAnsi="宋体"/>
                <w:color w:val="auto"/>
                <w:sz w:val="18"/>
                <w:szCs w:val="18"/>
              </w:rPr>
            </w:pPr>
          </w:p>
        </w:tc>
        <w:tc>
          <w:tcPr>
            <w:tcW w:w="1118" w:type="dxa"/>
            <w:vMerge w:val="continue"/>
            <w:vAlign w:val="center"/>
          </w:tcPr>
          <w:p>
            <w:pPr>
              <w:tabs>
                <w:tab w:val="left" w:pos="4320"/>
              </w:tabs>
              <w:kinsoku/>
              <w:overflowPunct/>
              <w:topLinePunct w:val="0"/>
              <w:bidi w:val="0"/>
              <w:jc w:val="right"/>
              <w:outlineLvl w:val="9"/>
              <w:rPr>
                <w:rFonts w:hAnsi="宋体"/>
                <w:color w:val="auto"/>
                <w:sz w:val="18"/>
                <w:szCs w:val="18"/>
              </w:rPr>
            </w:pPr>
          </w:p>
        </w:tc>
        <w:tc>
          <w:tcPr>
            <w:tcW w:w="894" w:type="dxa"/>
            <w:vMerge w:val="continue"/>
            <w:vAlign w:val="center"/>
          </w:tcPr>
          <w:p>
            <w:pPr>
              <w:tabs>
                <w:tab w:val="left" w:pos="4320"/>
              </w:tabs>
              <w:kinsoku/>
              <w:overflowPunct/>
              <w:topLinePunct w:val="0"/>
              <w:bidi w:val="0"/>
              <w:outlineLvl w:val="9"/>
              <w:rPr>
                <w:rFonts w:hAnsi="宋体"/>
                <w:color w:val="auto"/>
                <w:sz w:val="18"/>
                <w:szCs w:val="18"/>
              </w:rPr>
            </w:pPr>
          </w:p>
        </w:tc>
        <w:tc>
          <w:tcPr>
            <w:tcW w:w="992" w:type="dxa"/>
            <w:vMerge w:val="restart"/>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主要项目</w:t>
            </w:r>
          </w:p>
        </w:tc>
        <w:tc>
          <w:tcPr>
            <w:tcW w:w="4678" w:type="dxa"/>
            <w:gridSpan w:val="4"/>
            <w:tcBorders>
              <w:right w:val="double" w:color="auto" w:sz="4" w:space="0"/>
            </w:tcBorders>
            <w:vAlign w:val="center"/>
          </w:tcPr>
          <w:p>
            <w:pPr>
              <w:tabs>
                <w:tab w:val="left" w:pos="4320"/>
              </w:tabs>
              <w:kinsoku/>
              <w:overflowPunct/>
              <w:topLinePunct w:val="0"/>
              <w:bidi w:val="0"/>
              <w:spacing w:before="120" w:after="120"/>
              <w:outlineLvl w:val="9"/>
              <w:rPr>
                <w:rFonts w:hAnsi="宋体"/>
                <w:color w:val="auto"/>
                <w:sz w:val="18"/>
                <w:szCs w:val="18"/>
              </w:rPr>
            </w:pPr>
            <w:r>
              <w:rPr>
                <w:rFonts w:hint="eastAsia" w:hAnsi="宋体"/>
                <w:color w:val="auto"/>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8" w:hRule="atLeast"/>
        </w:trPr>
        <w:tc>
          <w:tcPr>
            <w:tcW w:w="1134" w:type="dxa"/>
            <w:vMerge w:val="continue"/>
            <w:tcBorders>
              <w:left w:val="double" w:color="auto" w:sz="4" w:space="0"/>
            </w:tcBorders>
            <w:vAlign w:val="center"/>
          </w:tcPr>
          <w:p>
            <w:pPr>
              <w:tabs>
                <w:tab w:val="left" w:pos="4320"/>
              </w:tabs>
              <w:kinsoku/>
              <w:overflowPunct/>
              <w:topLinePunct w:val="0"/>
              <w:bidi w:val="0"/>
              <w:ind w:left="200" w:hanging="199" w:hangingChars="111"/>
              <w:outlineLvl w:val="9"/>
              <w:rPr>
                <w:rFonts w:hAnsi="宋体"/>
                <w:color w:val="auto"/>
                <w:sz w:val="18"/>
                <w:szCs w:val="18"/>
              </w:rPr>
            </w:pPr>
          </w:p>
        </w:tc>
        <w:tc>
          <w:tcPr>
            <w:tcW w:w="965" w:type="dxa"/>
            <w:vMerge w:val="continue"/>
            <w:vAlign w:val="center"/>
          </w:tcPr>
          <w:p>
            <w:pPr>
              <w:tabs>
                <w:tab w:val="left" w:pos="4320"/>
              </w:tabs>
              <w:kinsoku/>
              <w:overflowPunct/>
              <w:topLinePunct w:val="0"/>
              <w:bidi w:val="0"/>
              <w:jc w:val="center"/>
              <w:outlineLvl w:val="9"/>
              <w:rPr>
                <w:rFonts w:hAnsi="宋体"/>
                <w:color w:val="auto"/>
                <w:sz w:val="18"/>
                <w:szCs w:val="18"/>
              </w:rPr>
            </w:pPr>
          </w:p>
        </w:tc>
        <w:tc>
          <w:tcPr>
            <w:tcW w:w="1118" w:type="dxa"/>
            <w:vMerge w:val="continue"/>
            <w:vAlign w:val="center"/>
          </w:tcPr>
          <w:p>
            <w:pPr>
              <w:tabs>
                <w:tab w:val="left" w:pos="-48"/>
                <w:tab w:val="left" w:pos="4320"/>
              </w:tabs>
              <w:kinsoku/>
              <w:overflowPunct/>
              <w:topLinePunct w:val="0"/>
              <w:bidi w:val="0"/>
              <w:ind w:hanging="48"/>
              <w:jc w:val="right"/>
              <w:outlineLvl w:val="9"/>
              <w:rPr>
                <w:rFonts w:hAnsi="宋体"/>
                <w:color w:val="auto"/>
                <w:sz w:val="18"/>
                <w:szCs w:val="18"/>
              </w:rPr>
            </w:pPr>
          </w:p>
        </w:tc>
        <w:tc>
          <w:tcPr>
            <w:tcW w:w="894" w:type="dxa"/>
            <w:vMerge w:val="continue"/>
            <w:vAlign w:val="center"/>
          </w:tcPr>
          <w:p>
            <w:pPr>
              <w:tabs>
                <w:tab w:val="left" w:pos="4320"/>
              </w:tabs>
              <w:kinsoku/>
              <w:overflowPunct/>
              <w:topLinePunct w:val="0"/>
              <w:bidi w:val="0"/>
              <w:outlineLvl w:val="9"/>
              <w:rPr>
                <w:rFonts w:hAnsi="宋体"/>
                <w:color w:val="auto"/>
                <w:sz w:val="18"/>
                <w:szCs w:val="18"/>
              </w:rPr>
            </w:pPr>
          </w:p>
        </w:tc>
        <w:tc>
          <w:tcPr>
            <w:tcW w:w="992" w:type="dxa"/>
            <w:vMerge w:val="continue"/>
            <w:vAlign w:val="center"/>
          </w:tcPr>
          <w:p>
            <w:pPr>
              <w:tabs>
                <w:tab w:val="left" w:pos="4320"/>
              </w:tabs>
              <w:kinsoku/>
              <w:overflowPunct/>
              <w:topLinePunct w:val="0"/>
              <w:bidi w:val="0"/>
              <w:jc w:val="center"/>
              <w:outlineLvl w:val="9"/>
              <w:rPr>
                <w:rFonts w:hAnsi="宋体"/>
                <w:color w:val="auto"/>
                <w:sz w:val="18"/>
                <w:szCs w:val="18"/>
              </w:rPr>
            </w:pPr>
          </w:p>
        </w:tc>
        <w:tc>
          <w:tcPr>
            <w:tcW w:w="4678" w:type="dxa"/>
            <w:gridSpan w:val="4"/>
            <w:tcBorders>
              <w:right w:val="double" w:color="auto" w:sz="4" w:space="0"/>
            </w:tcBorders>
            <w:vAlign w:val="center"/>
          </w:tcPr>
          <w:p>
            <w:pPr>
              <w:tabs>
                <w:tab w:val="left" w:pos="4320"/>
              </w:tabs>
              <w:kinsoku/>
              <w:overflowPunct/>
              <w:topLinePunct w:val="0"/>
              <w:bidi w:val="0"/>
              <w:outlineLvl w:val="9"/>
              <w:rPr>
                <w:rFonts w:hAnsi="宋体"/>
                <w:color w:val="auto"/>
                <w:sz w:val="18"/>
                <w:szCs w:val="18"/>
              </w:rPr>
            </w:pPr>
            <w:r>
              <w:rPr>
                <w:rFonts w:hint="eastAsia" w:hAnsi="宋体"/>
                <w:color w:val="auto"/>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1134" w:type="dxa"/>
            <w:vMerge w:val="continue"/>
            <w:tcBorders>
              <w:left w:val="double" w:color="auto" w:sz="4" w:space="0"/>
            </w:tcBorders>
            <w:vAlign w:val="center"/>
          </w:tcPr>
          <w:p>
            <w:pPr>
              <w:tabs>
                <w:tab w:val="left" w:pos="4320"/>
              </w:tabs>
              <w:kinsoku/>
              <w:overflowPunct/>
              <w:topLinePunct w:val="0"/>
              <w:bidi w:val="0"/>
              <w:ind w:left="200" w:hanging="199" w:hangingChars="111"/>
              <w:outlineLvl w:val="9"/>
              <w:rPr>
                <w:rFonts w:hAnsi="宋体"/>
                <w:color w:val="auto"/>
                <w:sz w:val="18"/>
                <w:szCs w:val="18"/>
              </w:rPr>
            </w:pPr>
          </w:p>
        </w:tc>
        <w:tc>
          <w:tcPr>
            <w:tcW w:w="965" w:type="dxa"/>
            <w:vAlign w:val="center"/>
          </w:tcPr>
          <w:p>
            <w:pPr>
              <w:tabs>
                <w:tab w:val="left" w:pos="4320"/>
              </w:tabs>
              <w:kinsoku/>
              <w:overflowPunct/>
              <w:topLinePunct w:val="0"/>
              <w:bidi w:val="0"/>
              <w:jc w:val="center"/>
              <w:outlineLvl w:val="9"/>
              <w:rPr>
                <w:rFonts w:hAnsi="宋体"/>
                <w:color w:val="auto"/>
                <w:sz w:val="18"/>
                <w:szCs w:val="18"/>
              </w:rPr>
            </w:pPr>
            <w:r>
              <w:rPr>
                <w:rFonts w:hint="eastAsia" w:hAnsi="宋体"/>
                <w:color w:val="auto"/>
                <w:sz w:val="18"/>
                <w:szCs w:val="18"/>
              </w:rPr>
              <w:t>占地面积</w:t>
            </w:r>
          </w:p>
        </w:tc>
        <w:tc>
          <w:tcPr>
            <w:tcW w:w="1118" w:type="dxa"/>
            <w:vAlign w:val="center"/>
          </w:tcPr>
          <w:p>
            <w:pPr>
              <w:tabs>
                <w:tab w:val="left" w:pos="4320"/>
              </w:tabs>
              <w:kinsoku/>
              <w:overflowPunct/>
              <w:topLinePunct w:val="0"/>
              <w:bidi w:val="0"/>
              <w:jc w:val="right"/>
              <w:outlineLvl w:val="9"/>
              <w:rPr>
                <w:rFonts w:hAnsi="宋体"/>
                <w:color w:val="auto"/>
                <w:sz w:val="18"/>
                <w:szCs w:val="18"/>
              </w:rPr>
            </w:pPr>
            <w:r>
              <w:rPr>
                <w:rFonts w:hint="eastAsia" w:hAnsi="宋体"/>
                <w:color w:val="auto"/>
                <w:sz w:val="18"/>
                <w:szCs w:val="18"/>
              </w:rPr>
              <w:t>M</w:t>
            </w:r>
            <w:r>
              <w:rPr>
                <w:rFonts w:hint="eastAsia" w:hAnsi="宋体"/>
                <w:color w:val="auto"/>
                <w:sz w:val="18"/>
                <w:szCs w:val="18"/>
                <w:vertAlign w:val="superscript"/>
              </w:rPr>
              <w:t>2</w:t>
            </w:r>
          </w:p>
        </w:tc>
        <w:tc>
          <w:tcPr>
            <w:tcW w:w="894" w:type="dxa"/>
            <w:vMerge w:val="continue"/>
            <w:vAlign w:val="center"/>
          </w:tcPr>
          <w:p>
            <w:pPr>
              <w:tabs>
                <w:tab w:val="left" w:pos="4320"/>
              </w:tabs>
              <w:kinsoku/>
              <w:overflowPunct/>
              <w:topLinePunct w:val="0"/>
              <w:bidi w:val="0"/>
              <w:outlineLvl w:val="9"/>
              <w:rPr>
                <w:rFonts w:hAnsi="宋体"/>
                <w:color w:val="auto"/>
                <w:sz w:val="18"/>
                <w:szCs w:val="18"/>
              </w:rPr>
            </w:pPr>
          </w:p>
        </w:tc>
        <w:tc>
          <w:tcPr>
            <w:tcW w:w="992" w:type="dxa"/>
            <w:vMerge w:val="continue"/>
            <w:vAlign w:val="center"/>
          </w:tcPr>
          <w:p>
            <w:pPr>
              <w:tabs>
                <w:tab w:val="left" w:pos="4320"/>
              </w:tabs>
              <w:kinsoku/>
              <w:overflowPunct/>
              <w:topLinePunct w:val="0"/>
              <w:bidi w:val="0"/>
              <w:jc w:val="center"/>
              <w:outlineLvl w:val="9"/>
              <w:rPr>
                <w:rFonts w:hAnsi="宋体"/>
                <w:color w:val="auto"/>
                <w:sz w:val="18"/>
                <w:szCs w:val="18"/>
              </w:rPr>
            </w:pPr>
          </w:p>
        </w:tc>
        <w:tc>
          <w:tcPr>
            <w:tcW w:w="4678" w:type="dxa"/>
            <w:gridSpan w:val="4"/>
            <w:tcBorders>
              <w:right w:val="double" w:color="auto" w:sz="4" w:space="0"/>
            </w:tcBorders>
            <w:vAlign w:val="center"/>
          </w:tcPr>
          <w:p>
            <w:pPr>
              <w:tabs>
                <w:tab w:val="left" w:pos="4320"/>
              </w:tabs>
              <w:kinsoku/>
              <w:overflowPunct/>
              <w:topLinePunct w:val="0"/>
              <w:bidi w:val="0"/>
              <w:spacing w:before="120" w:after="120"/>
              <w:outlineLvl w:val="9"/>
              <w:rPr>
                <w:rFonts w:hAnsi="宋体"/>
                <w:color w:val="auto"/>
                <w:sz w:val="18"/>
                <w:szCs w:val="18"/>
              </w:rPr>
            </w:pPr>
            <w:r>
              <w:rPr>
                <w:rFonts w:hint="eastAsia" w:hAnsi="宋体"/>
                <w:color w:val="auto"/>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1134" w:type="dxa"/>
            <w:vMerge w:val="restart"/>
            <w:tcBorders>
              <w:left w:val="double" w:color="auto" w:sz="4" w:space="0"/>
            </w:tcBorders>
            <w:vAlign w:val="center"/>
          </w:tcPr>
          <w:p>
            <w:pPr>
              <w:tabs>
                <w:tab w:val="left" w:pos="4320"/>
              </w:tabs>
              <w:kinsoku/>
              <w:overflowPunct/>
              <w:topLinePunct w:val="0"/>
              <w:bidi w:val="0"/>
              <w:outlineLvl w:val="9"/>
              <w:rPr>
                <w:rFonts w:hAnsi="宋体"/>
                <w:color w:val="auto"/>
                <w:sz w:val="18"/>
                <w:szCs w:val="18"/>
              </w:rPr>
            </w:pPr>
            <w:r>
              <w:rPr>
                <w:rFonts w:hint="eastAsia" w:hAnsi="宋体"/>
                <w:color w:val="auto"/>
                <w:sz w:val="18"/>
                <w:szCs w:val="18"/>
              </w:rPr>
              <w:t>四、其它</w:t>
            </w:r>
          </w:p>
        </w:tc>
        <w:tc>
          <w:tcPr>
            <w:tcW w:w="3969" w:type="dxa"/>
            <w:gridSpan w:val="4"/>
            <w:vAlign w:val="center"/>
          </w:tcPr>
          <w:p>
            <w:pPr>
              <w:tabs>
                <w:tab w:val="left" w:pos="4320"/>
              </w:tabs>
              <w:kinsoku/>
              <w:overflowPunct/>
              <w:topLinePunct w:val="0"/>
              <w:bidi w:val="0"/>
              <w:spacing w:before="60" w:after="60"/>
              <w:outlineLvl w:val="9"/>
              <w:rPr>
                <w:rFonts w:hAnsi="宋体"/>
                <w:color w:val="auto"/>
                <w:sz w:val="18"/>
                <w:szCs w:val="18"/>
              </w:rPr>
            </w:pPr>
            <w:r>
              <w:rPr>
                <w:rFonts w:hint="eastAsia" w:hAnsi="宋体"/>
                <w:color w:val="auto"/>
                <w:sz w:val="18"/>
                <w:szCs w:val="18"/>
              </w:rPr>
              <w:t>近3年完成及正在执行的合同中发生的由于</w:t>
            </w:r>
            <w:r>
              <w:rPr>
                <w:rFonts w:hint="eastAsia" w:hAnsi="宋体"/>
                <w:color w:val="auto"/>
                <w:sz w:val="18"/>
                <w:szCs w:val="18"/>
                <w:lang w:eastAsia="zh-CN"/>
              </w:rPr>
              <w:t>响应供应商</w:t>
            </w:r>
            <w:r>
              <w:rPr>
                <w:rFonts w:hint="eastAsia" w:hAnsi="宋体"/>
                <w:color w:val="auto"/>
                <w:sz w:val="18"/>
                <w:szCs w:val="18"/>
              </w:rPr>
              <w:t>违约或部分违约而引起诉讼和受到索赔的案件具体情况及结果（须如实填写，若对此进行隐瞒，尔后又被采购人或</w:t>
            </w:r>
            <w:r>
              <w:rPr>
                <w:rFonts w:hint="eastAsia" w:hAnsi="宋体" w:cs="宋体"/>
                <w:color w:val="auto"/>
                <w:sz w:val="18"/>
                <w:szCs w:val="18"/>
              </w:rPr>
              <w:t>采购代理机构</w:t>
            </w:r>
            <w:r>
              <w:rPr>
                <w:rFonts w:hint="eastAsia" w:hAnsi="宋体"/>
                <w:color w:val="auto"/>
                <w:sz w:val="18"/>
                <w:szCs w:val="18"/>
              </w:rPr>
              <w:t>发现，或被它人举证成立，其报价资格将被取消）。</w:t>
            </w:r>
          </w:p>
        </w:tc>
        <w:tc>
          <w:tcPr>
            <w:tcW w:w="4678" w:type="dxa"/>
            <w:gridSpan w:val="4"/>
            <w:tcBorders>
              <w:right w:val="double" w:color="auto" w:sz="4" w:space="0"/>
            </w:tcBorders>
            <w:vAlign w:val="center"/>
          </w:tcPr>
          <w:p>
            <w:pPr>
              <w:tabs>
                <w:tab w:val="left" w:pos="4320"/>
              </w:tabs>
              <w:kinsoku/>
              <w:overflowPunct/>
              <w:topLinePunct w:val="0"/>
              <w:bidi w:val="0"/>
              <w:spacing w:before="60" w:after="60"/>
              <w:outlineLvl w:val="9"/>
              <w:rPr>
                <w:rFonts w:hAnsi="宋体"/>
                <w:color w:val="auto"/>
                <w:sz w:val="18"/>
                <w:szCs w:val="18"/>
              </w:rPr>
            </w:pPr>
            <w:r>
              <w:rPr>
                <w:rFonts w:hint="eastAsia" w:hAnsi="宋体"/>
                <w:color w:val="auto"/>
                <w:sz w:val="18"/>
                <w:szCs w:val="18"/>
              </w:rPr>
              <w:t>如有名称变更（非因该单位出现了与资格预审（如果经此程序）时的营业性质的根本改变以至不再满足本次谈判的要求），说明原名称因何种原因变更为现名称，并提供由工商管理部门出具的变更证明文件。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0" w:hRule="atLeast"/>
        </w:trPr>
        <w:tc>
          <w:tcPr>
            <w:tcW w:w="1134" w:type="dxa"/>
            <w:vMerge w:val="continue"/>
            <w:tcBorders>
              <w:left w:val="double" w:color="auto" w:sz="4" w:space="0"/>
              <w:bottom w:val="double" w:color="auto" w:sz="4" w:space="0"/>
            </w:tcBorders>
            <w:vAlign w:val="center"/>
          </w:tcPr>
          <w:p>
            <w:pPr>
              <w:tabs>
                <w:tab w:val="left" w:pos="4320"/>
              </w:tabs>
              <w:kinsoku/>
              <w:overflowPunct/>
              <w:topLinePunct w:val="0"/>
              <w:bidi w:val="0"/>
              <w:outlineLvl w:val="9"/>
              <w:rPr>
                <w:rFonts w:hAnsi="宋体"/>
                <w:color w:val="auto"/>
                <w:sz w:val="18"/>
                <w:szCs w:val="18"/>
              </w:rPr>
            </w:pPr>
          </w:p>
        </w:tc>
        <w:tc>
          <w:tcPr>
            <w:tcW w:w="3969" w:type="dxa"/>
            <w:gridSpan w:val="4"/>
            <w:tcBorders>
              <w:bottom w:val="double" w:color="auto" w:sz="4" w:space="0"/>
            </w:tcBorders>
            <w:vAlign w:val="center"/>
          </w:tcPr>
          <w:p>
            <w:pPr>
              <w:tabs>
                <w:tab w:val="left" w:pos="4320"/>
              </w:tabs>
              <w:kinsoku/>
              <w:overflowPunct/>
              <w:topLinePunct w:val="0"/>
              <w:bidi w:val="0"/>
              <w:outlineLvl w:val="9"/>
              <w:rPr>
                <w:rFonts w:hAnsi="宋体"/>
                <w:color w:val="auto"/>
                <w:sz w:val="18"/>
                <w:szCs w:val="18"/>
              </w:rPr>
            </w:pPr>
          </w:p>
        </w:tc>
        <w:tc>
          <w:tcPr>
            <w:tcW w:w="4678" w:type="dxa"/>
            <w:gridSpan w:val="4"/>
            <w:tcBorders>
              <w:bottom w:val="double" w:color="auto" w:sz="4" w:space="0"/>
              <w:right w:val="double" w:color="auto" w:sz="4" w:space="0"/>
            </w:tcBorders>
            <w:vAlign w:val="center"/>
          </w:tcPr>
          <w:p>
            <w:pPr>
              <w:tabs>
                <w:tab w:val="left" w:pos="4320"/>
              </w:tabs>
              <w:kinsoku/>
              <w:overflowPunct/>
              <w:topLinePunct w:val="0"/>
              <w:bidi w:val="0"/>
              <w:outlineLvl w:val="9"/>
              <w:rPr>
                <w:rFonts w:hAnsi="宋体"/>
                <w:color w:val="auto"/>
                <w:sz w:val="18"/>
                <w:szCs w:val="18"/>
              </w:rPr>
            </w:pPr>
          </w:p>
        </w:tc>
      </w:tr>
    </w:tbl>
    <w:p>
      <w:pPr>
        <w:pStyle w:val="57"/>
        <w:kinsoku/>
        <w:overflowPunct/>
        <w:topLinePunct w:val="0"/>
        <w:bidi w:val="0"/>
        <w:spacing w:before="0" w:after="0" w:line="360" w:lineRule="auto"/>
        <w:ind w:left="840" w:hanging="840" w:hangingChars="400"/>
        <w:outlineLvl w:val="9"/>
        <w:rPr>
          <w:rFonts w:ascii="宋体" w:hAnsi="宋体"/>
          <w:bCs w:val="0"/>
          <w:color w:val="auto"/>
          <w:spacing w:val="0"/>
          <w:kern w:val="2"/>
          <w:sz w:val="21"/>
          <w:szCs w:val="21"/>
        </w:rPr>
      </w:pPr>
    </w:p>
    <w:p>
      <w:pPr>
        <w:pStyle w:val="57"/>
        <w:kinsoku/>
        <w:overflowPunct/>
        <w:topLinePunct w:val="0"/>
        <w:bidi w:val="0"/>
        <w:spacing w:before="0" w:after="0" w:line="360" w:lineRule="auto"/>
        <w:ind w:left="840" w:hanging="840" w:hangingChars="400"/>
        <w:outlineLvl w:val="9"/>
        <w:rPr>
          <w:rFonts w:ascii="宋体" w:hAnsi="宋体"/>
          <w:bCs w:val="0"/>
          <w:color w:val="auto"/>
          <w:spacing w:val="0"/>
          <w:kern w:val="2"/>
          <w:sz w:val="21"/>
          <w:szCs w:val="21"/>
        </w:rPr>
      </w:pPr>
      <w:r>
        <w:rPr>
          <w:rFonts w:hint="eastAsia" w:ascii="宋体" w:hAnsi="宋体"/>
          <w:bCs w:val="0"/>
          <w:color w:val="auto"/>
          <w:spacing w:val="0"/>
          <w:kern w:val="2"/>
          <w:sz w:val="21"/>
          <w:szCs w:val="21"/>
        </w:rPr>
        <w:t>注：1）文字描述：单位性质、发展历程、经营规模及货物理念、主营产品、技术力量等。</w:t>
      </w:r>
    </w:p>
    <w:p>
      <w:pPr>
        <w:kinsoku/>
        <w:overflowPunct/>
        <w:topLinePunct w:val="0"/>
        <w:bidi w:val="0"/>
        <w:spacing w:line="360" w:lineRule="auto"/>
        <w:ind w:firstLine="420" w:firstLineChars="200"/>
        <w:outlineLvl w:val="9"/>
        <w:rPr>
          <w:rFonts w:hAnsi="宋体"/>
          <w:color w:val="auto"/>
          <w:kern w:val="2"/>
          <w:sz w:val="21"/>
          <w:szCs w:val="21"/>
        </w:rPr>
      </w:pPr>
      <w:r>
        <w:rPr>
          <w:rFonts w:hint="eastAsia" w:hAnsi="宋体"/>
          <w:color w:val="auto"/>
          <w:kern w:val="2"/>
          <w:sz w:val="21"/>
          <w:szCs w:val="21"/>
        </w:rPr>
        <w:t>2）如</w:t>
      </w:r>
      <w:r>
        <w:rPr>
          <w:rFonts w:hint="eastAsia" w:hAnsi="宋体"/>
          <w:color w:val="auto"/>
          <w:kern w:val="2"/>
          <w:sz w:val="21"/>
          <w:szCs w:val="21"/>
          <w:lang w:eastAsia="zh-CN"/>
        </w:rPr>
        <w:t>响应供应商</w:t>
      </w:r>
      <w:r>
        <w:rPr>
          <w:rFonts w:hint="eastAsia" w:hAnsi="宋体"/>
          <w:color w:val="auto"/>
          <w:kern w:val="2"/>
          <w:sz w:val="21"/>
          <w:szCs w:val="21"/>
        </w:rPr>
        <w:t>此表数据有虚假，一经查实，自行承担相关责任。</w:t>
      </w:r>
    </w:p>
    <w:p>
      <w:pPr>
        <w:kinsoku/>
        <w:wordWrap w:val="0"/>
        <w:overflowPunct/>
        <w:topLinePunct w:val="0"/>
        <w:bidi w:val="0"/>
        <w:spacing w:line="360" w:lineRule="auto"/>
        <w:outlineLvl w:val="9"/>
        <w:rPr>
          <w:rFonts w:hAnsi="宋体"/>
          <w:color w:val="auto"/>
          <w:kern w:val="2"/>
          <w:sz w:val="21"/>
          <w:szCs w:val="21"/>
        </w:rPr>
      </w:pPr>
    </w:p>
    <w:p>
      <w:pPr>
        <w:pStyle w:val="15"/>
        <w:kinsoku/>
        <w:overflowPunct/>
        <w:topLinePunct w:val="0"/>
        <w:bidi w:val="0"/>
        <w:outlineLvl w:val="9"/>
        <w:rPr>
          <w:color w:val="auto"/>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napToGrid w:val="0"/>
        <w:spacing w:line="440" w:lineRule="exact"/>
        <w:outlineLvl w:val="9"/>
        <w:rPr>
          <w:rFonts w:hAnsi="宋体"/>
          <w:color w:val="auto"/>
          <w:kern w:val="2"/>
          <w:sz w:val="21"/>
          <w:szCs w:val="21"/>
        </w:rPr>
      </w:pPr>
    </w:p>
    <w:p>
      <w:pPr>
        <w:kinsoku/>
        <w:overflowPunct/>
        <w:topLinePunct w:val="0"/>
        <w:bidi w:val="0"/>
        <w:spacing w:after="120" w:line="480" w:lineRule="exact"/>
        <w:outlineLvl w:val="9"/>
        <w:rPr>
          <w:rFonts w:hAnsi="宋体"/>
          <w:b/>
          <w:bCs/>
          <w:color w:val="auto"/>
          <w:sz w:val="21"/>
          <w:szCs w:val="21"/>
        </w:rPr>
      </w:pPr>
      <w:r>
        <w:rPr>
          <w:rFonts w:hint="eastAsia" w:hAnsi="宋体"/>
          <w:b/>
          <w:bCs/>
          <w:color w:val="auto"/>
          <w:sz w:val="21"/>
          <w:szCs w:val="21"/>
        </w:rPr>
        <w:t>附表2.4.2 合同条款响应程度（合同条款偏离表）格式</w:t>
      </w:r>
    </w:p>
    <w:p>
      <w:pPr>
        <w:kinsoku/>
        <w:overflowPunct/>
        <w:topLinePunct w:val="0"/>
        <w:bidi w:val="0"/>
        <w:spacing w:line="360" w:lineRule="auto"/>
        <w:jc w:val="center"/>
        <w:outlineLvl w:val="9"/>
        <w:rPr>
          <w:rFonts w:hAnsi="宋体"/>
          <w:color w:val="auto"/>
          <w:sz w:val="21"/>
          <w:szCs w:val="21"/>
        </w:rPr>
      </w:pPr>
    </w:p>
    <w:p>
      <w:pPr>
        <w:kinsoku/>
        <w:overflowPunct/>
        <w:topLinePunct w:val="0"/>
        <w:bidi w:val="0"/>
        <w:spacing w:line="360" w:lineRule="auto"/>
        <w:jc w:val="center"/>
        <w:outlineLvl w:val="9"/>
        <w:rPr>
          <w:rFonts w:hAnsi="宋体"/>
          <w:color w:val="auto"/>
          <w:sz w:val="21"/>
          <w:szCs w:val="21"/>
        </w:rPr>
      </w:pPr>
      <w:r>
        <w:rPr>
          <w:rFonts w:hint="eastAsia" w:hAnsi="宋体"/>
          <w:color w:val="auto"/>
          <w:sz w:val="21"/>
          <w:szCs w:val="21"/>
        </w:rPr>
        <w:t>合同条款偏离表</w:t>
      </w:r>
    </w:p>
    <w:p>
      <w:pPr>
        <w:kinsoku/>
        <w:overflowPunct/>
        <w:topLinePunct w:val="0"/>
        <w:bidi w:val="0"/>
        <w:spacing w:line="360" w:lineRule="auto"/>
        <w:outlineLvl w:val="9"/>
        <w:rPr>
          <w:rFonts w:hAnsi="宋体"/>
          <w:color w:val="auto"/>
          <w:sz w:val="21"/>
          <w:szCs w:val="21"/>
          <w:u w:val="single"/>
        </w:rPr>
      </w:pPr>
      <w:r>
        <w:rPr>
          <w:rFonts w:hint="eastAsia" w:hAnsi="宋体"/>
          <w:color w:val="auto"/>
          <w:sz w:val="21"/>
          <w:szCs w:val="21"/>
          <w:lang w:eastAsia="zh-CN"/>
        </w:rPr>
        <w:t>响应供应商</w:t>
      </w:r>
      <w:r>
        <w:rPr>
          <w:rFonts w:hint="eastAsia" w:hAnsi="宋体"/>
          <w:color w:val="auto"/>
          <w:sz w:val="21"/>
          <w:szCs w:val="21"/>
        </w:rPr>
        <w:t>名称：</w:t>
      </w:r>
    </w:p>
    <w:p>
      <w:pPr>
        <w:kinsoku/>
        <w:overflowPunct/>
        <w:topLinePunct w:val="0"/>
        <w:bidi w:val="0"/>
        <w:spacing w:line="360" w:lineRule="auto"/>
        <w:outlineLvl w:val="9"/>
        <w:rPr>
          <w:rFonts w:hint="eastAsia" w:hAnsi="宋体" w:eastAsia="宋体"/>
          <w:color w:val="auto"/>
          <w:sz w:val="21"/>
          <w:szCs w:val="21"/>
          <w:lang w:eastAsia="zh-CN"/>
        </w:rPr>
      </w:pPr>
      <w:r>
        <w:rPr>
          <w:rFonts w:hint="eastAsia" w:hAnsi="宋体"/>
          <w:color w:val="auto"/>
          <w:sz w:val="21"/>
          <w:szCs w:val="21"/>
        </w:rPr>
        <w:t>项目名称：</w:t>
      </w:r>
      <w:r>
        <w:rPr>
          <w:rFonts w:hint="eastAsia" w:hAnsi="宋体"/>
          <w:color w:val="auto"/>
          <w:sz w:val="21"/>
          <w:szCs w:val="21"/>
          <w:lang w:eastAsia="zh-CN"/>
        </w:rPr>
        <w:t>洗衣房洗涤用品采购项目（第二次）</w:t>
      </w:r>
    </w:p>
    <w:p>
      <w:pPr>
        <w:kinsoku/>
        <w:overflowPunct/>
        <w:topLinePunct w:val="0"/>
        <w:bidi w:val="0"/>
        <w:spacing w:line="360" w:lineRule="auto"/>
        <w:outlineLvl w:val="9"/>
        <w:rPr>
          <w:rFonts w:hAnsi="宋体"/>
          <w:color w:val="auto"/>
          <w:sz w:val="21"/>
          <w:szCs w:val="21"/>
        </w:rPr>
      </w:pPr>
      <w:r>
        <w:rPr>
          <w:rFonts w:hint="eastAsia" w:hAnsi="宋体"/>
          <w:color w:val="auto"/>
          <w:sz w:val="21"/>
          <w:szCs w:val="21"/>
        </w:rPr>
        <w:t>项目编号：</w:t>
      </w:r>
      <w:r>
        <w:rPr>
          <w:rFonts w:hint="eastAsia" w:hAnsi="宋体"/>
          <w:color w:val="auto"/>
          <w:sz w:val="21"/>
          <w:szCs w:val="21"/>
          <w:lang w:eastAsia="zh-CN"/>
        </w:rPr>
        <w:t>NFQYCG2023002</w:t>
      </w:r>
      <w:r>
        <w:rPr>
          <w:rFonts w:hint="eastAsia" w:hAnsi="宋体"/>
          <w:color w:val="auto"/>
          <w:sz w:val="21"/>
          <w:szCs w:val="21"/>
        </w:rPr>
        <w:t xml:space="preserve"> </w:t>
      </w:r>
    </w:p>
    <w:tbl>
      <w:tblPr>
        <w:tblStyle w:val="21"/>
        <w:tblW w:w="96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2522"/>
        <w:gridCol w:w="2591"/>
        <w:gridCol w:w="1200"/>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jc w:val="center"/>
              <w:outlineLvl w:val="9"/>
              <w:rPr>
                <w:rFonts w:hAnsi="宋体"/>
                <w:color w:val="auto"/>
                <w:sz w:val="21"/>
                <w:szCs w:val="21"/>
              </w:rPr>
            </w:pPr>
            <w:r>
              <w:rPr>
                <w:rFonts w:hint="eastAsia" w:hAnsi="宋体"/>
                <w:color w:val="auto"/>
                <w:sz w:val="21"/>
                <w:szCs w:val="21"/>
              </w:rPr>
              <w:t>招标/谈判文件条目号</w:t>
            </w:r>
          </w:p>
        </w:tc>
        <w:tc>
          <w:tcPr>
            <w:tcW w:w="2522" w:type="dxa"/>
          </w:tcPr>
          <w:p>
            <w:pPr>
              <w:kinsoku/>
              <w:overflowPunct/>
              <w:topLinePunct w:val="0"/>
              <w:bidi w:val="0"/>
              <w:spacing w:line="360" w:lineRule="auto"/>
              <w:jc w:val="center"/>
              <w:outlineLvl w:val="9"/>
              <w:rPr>
                <w:rFonts w:hAnsi="宋体"/>
                <w:color w:val="auto"/>
                <w:sz w:val="21"/>
                <w:szCs w:val="21"/>
              </w:rPr>
            </w:pPr>
            <w:r>
              <w:rPr>
                <w:rFonts w:hint="eastAsia" w:hAnsi="宋体"/>
                <w:color w:val="auto"/>
                <w:sz w:val="21"/>
                <w:szCs w:val="21"/>
              </w:rPr>
              <w:t>招标/谈判文件合同条款</w:t>
            </w:r>
          </w:p>
        </w:tc>
        <w:tc>
          <w:tcPr>
            <w:tcW w:w="2591" w:type="dxa"/>
          </w:tcPr>
          <w:p>
            <w:pPr>
              <w:kinsoku/>
              <w:overflowPunct/>
              <w:topLinePunct w:val="0"/>
              <w:bidi w:val="0"/>
              <w:spacing w:line="360" w:lineRule="auto"/>
              <w:jc w:val="center"/>
              <w:outlineLvl w:val="9"/>
              <w:rPr>
                <w:rFonts w:hAnsi="宋体"/>
                <w:color w:val="auto"/>
                <w:sz w:val="21"/>
                <w:szCs w:val="21"/>
              </w:rPr>
            </w:pPr>
            <w:r>
              <w:rPr>
                <w:rFonts w:hint="eastAsia" w:hAnsi="宋体"/>
                <w:color w:val="auto"/>
                <w:sz w:val="21"/>
                <w:szCs w:val="21"/>
              </w:rPr>
              <w:t>投标/</w:t>
            </w:r>
            <w:r>
              <w:rPr>
                <w:rFonts w:hint="eastAsia" w:hAnsi="宋体"/>
                <w:color w:val="auto"/>
                <w:sz w:val="21"/>
                <w:szCs w:val="21"/>
                <w:lang w:eastAsia="zh-CN"/>
              </w:rPr>
              <w:t>响应文件</w:t>
            </w:r>
            <w:r>
              <w:rPr>
                <w:rFonts w:hint="eastAsia" w:hAnsi="宋体"/>
                <w:color w:val="auto"/>
                <w:sz w:val="21"/>
                <w:szCs w:val="21"/>
              </w:rPr>
              <w:t>合同条款</w:t>
            </w:r>
          </w:p>
        </w:tc>
        <w:tc>
          <w:tcPr>
            <w:tcW w:w="1200" w:type="dxa"/>
            <w:vAlign w:val="center"/>
          </w:tcPr>
          <w:p>
            <w:pPr>
              <w:kinsoku/>
              <w:overflowPunct/>
              <w:topLinePunct w:val="0"/>
              <w:bidi w:val="0"/>
              <w:spacing w:line="360" w:lineRule="auto"/>
              <w:jc w:val="center"/>
              <w:outlineLvl w:val="9"/>
              <w:rPr>
                <w:rFonts w:hAnsi="宋体"/>
                <w:color w:val="auto"/>
                <w:sz w:val="21"/>
                <w:szCs w:val="21"/>
              </w:rPr>
            </w:pPr>
            <w:r>
              <w:rPr>
                <w:rFonts w:hint="eastAsia" w:hAnsi="宋体"/>
                <w:color w:val="auto"/>
                <w:sz w:val="21"/>
                <w:szCs w:val="21"/>
              </w:rPr>
              <w:t>偏离情况</w:t>
            </w:r>
          </w:p>
        </w:tc>
        <w:tc>
          <w:tcPr>
            <w:tcW w:w="992" w:type="dxa"/>
          </w:tcPr>
          <w:p>
            <w:pPr>
              <w:kinsoku/>
              <w:overflowPunct/>
              <w:topLinePunct w:val="0"/>
              <w:bidi w:val="0"/>
              <w:spacing w:line="360" w:lineRule="auto"/>
              <w:jc w:val="center"/>
              <w:outlineLvl w:val="9"/>
              <w:rPr>
                <w:rFonts w:hAnsi="宋体"/>
                <w:color w:val="auto"/>
                <w:sz w:val="21"/>
                <w:szCs w:val="21"/>
              </w:rPr>
            </w:pPr>
            <w:r>
              <w:rPr>
                <w:rFonts w:hint="eastAsia" w:hAnsi="宋体"/>
                <w:color w:val="auto"/>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pStyle w:val="39"/>
              <w:kinsoku/>
              <w:overflowPunct/>
              <w:topLinePunct w:val="0"/>
              <w:bidi w:val="0"/>
              <w:spacing w:before="0" w:beforeAutospacing="0" w:after="0" w:afterAutospacing="0" w:line="360" w:lineRule="auto"/>
              <w:outlineLvl w:val="9"/>
              <w:rPr>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8" w:type="dxa"/>
          </w:tcPr>
          <w:p>
            <w:pPr>
              <w:kinsoku/>
              <w:overflowPunct/>
              <w:topLinePunct w:val="0"/>
              <w:bidi w:val="0"/>
              <w:spacing w:line="360" w:lineRule="auto"/>
              <w:outlineLvl w:val="9"/>
              <w:rPr>
                <w:rFonts w:hAnsi="宋体"/>
                <w:color w:val="auto"/>
                <w:sz w:val="21"/>
                <w:szCs w:val="21"/>
              </w:rPr>
            </w:pPr>
          </w:p>
        </w:tc>
        <w:tc>
          <w:tcPr>
            <w:tcW w:w="2522" w:type="dxa"/>
          </w:tcPr>
          <w:p>
            <w:pPr>
              <w:kinsoku/>
              <w:overflowPunct/>
              <w:topLinePunct w:val="0"/>
              <w:bidi w:val="0"/>
              <w:spacing w:line="360" w:lineRule="auto"/>
              <w:outlineLvl w:val="9"/>
              <w:rPr>
                <w:rFonts w:hAnsi="宋体"/>
                <w:color w:val="auto"/>
                <w:sz w:val="21"/>
                <w:szCs w:val="21"/>
              </w:rPr>
            </w:pPr>
          </w:p>
        </w:tc>
        <w:tc>
          <w:tcPr>
            <w:tcW w:w="2591" w:type="dxa"/>
          </w:tcPr>
          <w:p>
            <w:pPr>
              <w:kinsoku/>
              <w:overflowPunct/>
              <w:topLinePunct w:val="0"/>
              <w:bidi w:val="0"/>
              <w:spacing w:line="360" w:lineRule="auto"/>
              <w:outlineLvl w:val="9"/>
              <w:rPr>
                <w:rFonts w:hAnsi="宋体"/>
                <w:color w:val="auto"/>
                <w:sz w:val="21"/>
                <w:szCs w:val="21"/>
              </w:rPr>
            </w:pPr>
          </w:p>
        </w:tc>
        <w:tc>
          <w:tcPr>
            <w:tcW w:w="1200" w:type="dxa"/>
            <w:vAlign w:val="center"/>
          </w:tcPr>
          <w:p>
            <w:pPr>
              <w:kinsoku/>
              <w:overflowPunct/>
              <w:topLinePunct w:val="0"/>
              <w:bidi w:val="0"/>
              <w:spacing w:line="360" w:lineRule="auto"/>
              <w:jc w:val="center"/>
              <w:outlineLvl w:val="9"/>
              <w:rPr>
                <w:rFonts w:hAnsi="宋体"/>
                <w:color w:val="auto"/>
                <w:sz w:val="21"/>
                <w:szCs w:val="21"/>
              </w:rPr>
            </w:pPr>
          </w:p>
        </w:tc>
        <w:tc>
          <w:tcPr>
            <w:tcW w:w="992" w:type="dxa"/>
          </w:tcPr>
          <w:p>
            <w:pPr>
              <w:kinsoku/>
              <w:overflowPunct/>
              <w:topLinePunct w:val="0"/>
              <w:bidi w:val="0"/>
              <w:spacing w:line="360" w:lineRule="auto"/>
              <w:outlineLvl w:val="9"/>
              <w:rPr>
                <w:rFonts w:hAnsi="宋体"/>
                <w:color w:val="auto"/>
                <w:sz w:val="21"/>
                <w:szCs w:val="21"/>
              </w:rPr>
            </w:pPr>
          </w:p>
        </w:tc>
      </w:tr>
    </w:tbl>
    <w:p>
      <w:pPr>
        <w:kinsoku/>
        <w:overflowPunct/>
        <w:topLinePunct w:val="0"/>
        <w:bidi w:val="0"/>
        <w:spacing w:line="360" w:lineRule="auto"/>
        <w:outlineLvl w:val="9"/>
        <w:rPr>
          <w:rFonts w:hAnsi="宋体"/>
          <w:color w:val="auto"/>
          <w:sz w:val="21"/>
          <w:szCs w:val="21"/>
        </w:rPr>
      </w:pPr>
      <w:r>
        <w:rPr>
          <w:rFonts w:hint="eastAsia" w:hAnsi="宋体"/>
          <w:color w:val="auto"/>
          <w:sz w:val="21"/>
          <w:szCs w:val="21"/>
        </w:rPr>
        <w:t>注：</w:t>
      </w:r>
    </w:p>
    <w:p>
      <w:pPr>
        <w:kinsoku/>
        <w:overflowPunct/>
        <w:topLinePunct w:val="0"/>
        <w:bidi w:val="0"/>
        <w:spacing w:line="360" w:lineRule="auto"/>
        <w:outlineLvl w:val="9"/>
        <w:rPr>
          <w:rFonts w:hAnsi="宋体"/>
          <w:color w:val="auto"/>
          <w:sz w:val="21"/>
          <w:szCs w:val="21"/>
        </w:rPr>
      </w:pPr>
      <w:r>
        <w:rPr>
          <w:rFonts w:hint="eastAsia" w:hAnsi="宋体"/>
          <w:color w:val="auto"/>
          <w:sz w:val="21"/>
          <w:szCs w:val="21"/>
        </w:rPr>
        <w:t>1、</w:t>
      </w:r>
      <w:r>
        <w:rPr>
          <w:rFonts w:hint="eastAsia" w:hAnsi="宋体"/>
          <w:color w:val="auto"/>
          <w:sz w:val="21"/>
          <w:szCs w:val="21"/>
          <w:u w:val="single"/>
        </w:rPr>
        <w:t>本表必须对应谈判文件《合同条款》条目号逐项填写，不得有任何遗漏，否则视为不响应谈判文件要求；或针对与谈判文件《合同条款》条目号上有偏离款项填写相应的填写，并注明除填写的款项有偏离以外，其他款项均响应招标文件的要求。</w:t>
      </w:r>
    </w:p>
    <w:p>
      <w:pPr>
        <w:kinsoku/>
        <w:overflowPunct/>
        <w:topLinePunct w:val="0"/>
        <w:bidi w:val="0"/>
        <w:spacing w:line="360" w:lineRule="auto"/>
        <w:outlineLvl w:val="9"/>
        <w:rPr>
          <w:rFonts w:hAnsi="宋体"/>
          <w:color w:val="auto"/>
          <w:sz w:val="21"/>
          <w:szCs w:val="21"/>
        </w:rPr>
      </w:pPr>
      <w:r>
        <w:rPr>
          <w:rFonts w:hint="eastAsia" w:hAnsi="宋体"/>
          <w:color w:val="auto"/>
          <w:sz w:val="21"/>
          <w:szCs w:val="21"/>
        </w:rPr>
        <w:t>2、如有偏离，应在“偏离情况”栏内注明“有”，并在“说明”栏内予以说明；如无偏离，应在“偏离情况”栏内注明“无”。</w:t>
      </w:r>
    </w:p>
    <w:p>
      <w:pPr>
        <w:pStyle w:val="57"/>
        <w:kinsoku/>
        <w:overflowPunct/>
        <w:topLinePunct w:val="0"/>
        <w:bidi w:val="0"/>
        <w:outlineLvl w:val="9"/>
        <w:rPr>
          <w:rFonts w:ascii="仿宋_GB2312" w:hAnsi="仿宋" w:eastAsia="仿宋_GB2312"/>
          <w:color w:val="auto"/>
          <w:sz w:val="21"/>
          <w:szCs w:val="21"/>
        </w:rPr>
      </w:pPr>
    </w:p>
    <w:p>
      <w:pPr>
        <w:pStyle w:val="57"/>
        <w:kinsoku/>
        <w:overflowPunct/>
        <w:topLinePunct w:val="0"/>
        <w:bidi w:val="0"/>
        <w:outlineLvl w:val="9"/>
        <w:rPr>
          <w:rFonts w:ascii="仿宋_GB2312" w:hAnsi="仿宋" w:eastAsia="仿宋_GB2312"/>
          <w:color w:val="auto"/>
          <w:sz w:val="21"/>
          <w:szCs w:val="21"/>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pacing w:line="360" w:lineRule="auto"/>
        <w:outlineLvl w:val="9"/>
        <w:rPr>
          <w:rFonts w:hAnsi="宋体"/>
          <w:color w:val="auto"/>
          <w:kern w:val="2"/>
          <w:sz w:val="21"/>
          <w:szCs w:val="21"/>
        </w:rPr>
      </w:pPr>
    </w:p>
    <w:p>
      <w:pPr>
        <w:pStyle w:val="43"/>
        <w:kinsoku/>
        <w:overflowPunct/>
        <w:topLinePunct w:val="0"/>
        <w:bidi w:val="0"/>
        <w:spacing w:line="360" w:lineRule="exact"/>
        <w:jc w:val="both"/>
        <w:outlineLvl w:val="9"/>
        <w:rPr>
          <w:rFonts w:hAnsi="宋体"/>
          <w:b w:val="0"/>
          <w:color w:val="auto"/>
          <w:sz w:val="21"/>
          <w:szCs w:val="21"/>
        </w:rPr>
      </w:pPr>
    </w:p>
    <w:p>
      <w:pPr>
        <w:kinsoku/>
        <w:overflowPunct/>
        <w:topLinePunct w:val="0"/>
        <w:bidi w:val="0"/>
        <w:outlineLvl w:val="9"/>
        <w:rPr>
          <w:color w:val="auto"/>
        </w:rPr>
      </w:pPr>
      <w:bookmarkStart w:id="73" w:name="_Toc382840859"/>
      <w:bookmarkStart w:id="74" w:name="_Toc382926911"/>
    </w:p>
    <w:p>
      <w:pPr>
        <w:kinsoku/>
        <w:overflowPunct/>
        <w:topLinePunct w:val="0"/>
        <w:bidi w:val="0"/>
        <w:spacing w:after="120" w:line="480" w:lineRule="exact"/>
        <w:outlineLvl w:val="9"/>
        <w:rPr>
          <w:rFonts w:hAnsi="宋体"/>
          <w:b/>
          <w:color w:val="auto"/>
          <w:sz w:val="21"/>
          <w:szCs w:val="20"/>
        </w:rPr>
      </w:pPr>
      <w:r>
        <w:rPr>
          <w:rFonts w:hint="eastAsia" w:hAnsi="宋体"/>
          <w:b/>
          <w:color w:val="auto"/>
          <w:sz w:val="21"/>
          <w:szCs w:val="20"/>
        </w:rPr>
        <w:t>附表2.5 成交服务费承诺书格式</w:t>
      </w:r>
      <w:bookmarkEnd w:id="73"/>
      <w:bookmarkEnd w:id="74"/>
    </w:p>
    <w:p>
      <w:pPr>
        <w:kinsoku/>
        <w:overflowPunct/>
        <w:topLinePunct w:val="0"/>
        <w:bidi w:val="0"/>
        <w:spacing w:line="360" w:lineRule="auto"/>
        <w:ind w:right="893" w:firstLine="420"/>
        <w:jc w:val="both"/>
        <w:outlineLvl w:val="9"/>
        <w:rPr>
          <w:rFonts w:hAnsi="宋体"/>
          <w:color w:val="auto"/>
          <w:kern w:val="2"/>
          <w:sz w:val="21"/>
          <w:szCs w:val="21"/>
          <w:lang w:val="zh-CN"/>
        </w:rPr>
      </w:pPr>
    </w:p>
    <w:p>
      <w:pPr>
        <w:kinsoku/>
        <w:overflowPunct/>
        <w:topLinePunct w:val="0"/>
        <w:bidi w:val="0"/>
        <w:spacing w:line="360" w:lineRule="auto"/>
        <w:jc w:val="center"/>
        <w:outlineLvl w:val="9"/>
        <w:rPr>
          <w:rFonts w:hAnsi="宋体"/>
          <w:b/>
          <w:color w:val="auto"/>
          <w:sz w:val="28"/>
          <w:szCs w:val="28"/>
        </w:rPr>
      </w:pPr>
      <w:r>
        <w:rPr>
          <w:rFonts w:hint="eastAsia" w:hAnsi="宋体"/>
          <w:b/>
          <w:color w:val="auto"/>
          <w:sz w:val="28"/>
          <w:szCs w:val="28"/>
        </w:rPr>
        <w:t>成交服务费承诺书</w:t>
      </w:r>
    </w:p>
    <w:p>
      <w:pPr>
        <w:kinsoku/>
        <w:overflowPunct/>
        <w:topLinePunct w:val="0"/>
        <w:bidi w:val="0"/>
        <w:spacing w:line="360" w:lineRule="auto"/>
        <w:ind w:right="893" w:firstLine="420"/>
        <w:jc w:val="both"/>
        <w:outlineLvl w:val="9"/>
        <w:rPr>
          <w:rFonts w:hAnsi="宋体"/>
          <w:color w:val="auto"/>
          <w:kern w:val="2"/>
          <w:sz w:val="21"/>
          <w:szCs w:val="21"/>
          <w:lang w:val="zh-CN"/>
        </w:rPr>
      </w:pPr>
    </w:p>
    <w:p>
      <w:pPr>
        <w:kinsoku/>
        <w:overflowPunct/>
        <w:topLinePunct w:val="0"/>
        <w:bidi w:val="0"/>
        <w:spacing w:line="360" w:lineRule="auto"/>
        <w:ind w:right="893"/>
        <w:jc w:val="both"/>
        <w:outlineLvl w:val="9"/>
        <w:rPr>
          <w:rFonts w:hAnsi="宋体"/>
          <w:b/>
          <w:bCs/>
          <w:color w:val="auto"/>
          <w:kern w:val="2"/>
          <w:lang w:val="zh-CN"/>
        </w:rPr>
      </w:pPr>
      <w:r>
        <w:rPr>
          <w:rFonts w:hint="eastAsia" w:hAnsi="宋体"/>
          <w:b/>
          <w:bCs/>
          <w:color w:val="auto"/>
          <w:kern w:val="2"/>
          <w:lang w:val="zh-CN"/>
        </w:rPr>
        <w:t>致：</w:t>
      </w:r>
      <w:r>
        <w:rPr>
          <w:rFonts w:hint="eastAsia" w:hAnsi="宋体"/>
          <w:b/>
          <w:color w:val="auto"/>
          <w:u w:val="single"/>
        </w:rPr>
        <w:t>广东远东招标代理有限公司</w:t>
      </w:r>
    </w:p>
    <w:p>
      <w:pPr>
        <w:kinsoku/>
        <w:overflowPunct/>
        <w:topLinePunct w:val="0"/>
        <w:bidi w:val="0"/>
        <w:spacing w:line="360" w:lineRule="auto"/>
        <w:ind w:right="893" w:firstLine="420"/>
        <w:jc w:val="both"/>
        <w:outlineLvl w:val="9"/>
        <w:rPr>
          <w:rFonts w:hAnsi="宋体"/>
          <w:color w:val="auto"/>
          <w:kern w:val="2"/>
          <w:sz w:val="21"/>
          <w:szCs w:val="21"/>
          <w:lang w:val="zh-CN"/>
        </w:rPr>
      </w:pPr>
    </w:p>
    <w:p>
      <w:pPr>
        <w:tabs>
          <w:tab w:val="left" w:pos="-142"/>
        </w:tabs>
        <w:kinsoku/>
        <w:overflowPunct/>
        <w:topLinePunct w:val="0"/>
        <w:bidi w:val="0"/>
        <w:spacing w:line="360" w:lineRule="auto"/>
        <w:ind w:left="-36" w:leftChars="-15" w:right="18" w:firstLine="457" w:firstLineChars="218"/>
        <w:jc w:val="both"/>
        <w:outlineLvl w:val="9"/>
        <w:rPr>
          <w:rFonts w:hAnsi="宋体"/>
          <w:color w:val="auto"/>
          <w:kern w:val="2"/>
          <w:sz w:val="21"/>
          <w:lang w:val="zh-CN"/>
        </w:rPr>
      </w:pPr>
      <w:r>
        <w:rPr>
          <w:rFonts w:hint="eastAsia" w:hAnsi="宋体"/>
          <w:color w:val="auto"/>
          <w:kern w:val="2"/>
          <w:sz w:val="21"/>
          <w:lang w:val="zh-CN"/>
        </w:rPr>
        <w:t>我单位在贵司代理的</w:t>
      </w:r>
      <w:r>
        <w:rPr>
          <w:rFonts w:hint="eastAsia"/>
          <w:color w:val="auto"/>
          <w:sz w:val="21"/>
          <w:szCs w:val="21"/>
          <w:u w:val="single"/>
          <w:lang w:eastAsia="zh-CN"/>
        </w:rPr>
        <w:t>洗衣房洗涤用品采购项目（第二次）</w:t>
      </w:r>
      <w:r>
        <w:rPr>
          <w:rFonts w:hint="eastAsia" w:hAnsi="宋体"/>
          <w:color w:val="auto"/>
          <w:sz w:val="21"/>
          <w:szCs w:val="32"/>
        </w:rPr>
        <w:t>(</w:t>
      </w:r>
      <w:r>
        <w:rPr>
          <w:rFonts w:hint="eastAsia" w:hAnsi="宋体"/>
          <w:color w:val="auto"/>
          <w:kern w:val="2"/>
          <w:sz w:val="21"/>
          <w:szCs w:val="21"/>
          <w:lang w:val="zh-CN"/>
        </w:rPr>
        <w:t>项目编号：NFQYCG2023002)</w:t>
      </w:r>
      <w:r>
        <w:rPr>
          <w:rFonts w:hint="eastAsia" w:hAnsi="宋体"/>
          <w:color w:val="auto"/>
          <w:kern w:val="2"/>
          <w:sz w:val="21"/>
          <w:lang w:val="zh-CN"/>
        </w:rPr>
        <w:t>谈判中若获成交，我们保证在领取成交通知书原件的同时按谈判文件的规定，以银行转账、电汇或经贵公司认可的一种方式，向贵公司即</w:t>
      </w:r>
      <w:r>
        <w:rPr>
          <w:rFonts w:hint="eastAsia" w:hAnsi="宋体"/>
          <w:i w:val="0"/>
          <w:iCs/>
          <w:color w:val="auto"/>
          <w:kern w:val="2"/>
          <w:sz w:val="21"/>
          <w:u w:val="single"/>
          <w:lang w:val="zh-CN"/>
        </w:rPr>
        <w:t>广东远东招标代理有限公司</w:t>
      </w:r>
      <w:r>
        <w:rPr>
          <w:rFonts w:hint="eastAsia" w:hAnsi="宋体"/>
          <w:color w:val="auto"/>
          <w:kern w:val="2"/>
          <w:sz w:val="21"/>
          <w:lang w:val="zh-CN"/>
        </w:rPr>
        <w:t>指定的银行账号，一次性支付成交服务费（详见本谈判文件响应供应商须知第35款）。</w:t>
      </w:r>
    </w:p>
    <w:p>
      <w:pPr>
        <w:kinsoku/>
        <w:overflowPunct/>
        <w:topLinePunct w:val="0"/>
        <w:bidi w:val="0"/>
        <w:spacing w:line="360" w:lineRule="auto"/>
        <w:ind w:right="893"/>
        <w:jc w:val="both"/>
        <w:outlineLvl w:val="9"/>
        <w:rPr>
          <w:rFonts w:hAnsi="宋体"/>
          <w:color w:val="auto"/>
          <w:kern w:val="2"/>
          <w:sz w:val="21"/>
          <w:lang w:val="zh-CN"/>
        </w:rPr>
      </w:pPr>
    </w:p>
    <w:p>
      <w:pPr>
        <w:kinsoku/>
        <w:overflowPunct/>
        <w:topLinePunct w:val="0"/>
        <w:bidi w:val="0"/>
        <w:spacing w:line="360" w:lineRule="auto"/>
        <w:ind w:right="893" w:firstLine="480"/>
        <w:jc w:val="both"/>
        <w:outlineLvl w:val="9"/>
        <w:rPr>
          <w:rFonts w:hAnsi="宋体"/>
          <w:color w:val="auto"/>
          <w:kern w:val="2"/>
          <w:sz w:val="21"/>
          <w:lang w:val="zh-CN"/>
        </w:rPr>
      </w:pPr>
      <w:r>
        <w:rPr>
          <w:rFonts w:hint="eastAsia" w:hAnsi="宋体"/>
          <w:color w:val="auto"/>
          <w:kern w:val="2"/>
          <w:sz w:val="21"/>
          <w:lang w:val="zh-CN"/>
        </w:rPr>
        <w:t>特此承诺。</w:t>
      </w:r>
    </w:p>
    <w:p>
      <w:pPr>
        <w:kinsoku/>
        <w:overflowPunct/>
        <w:topLinePunct w:val="0"/>
        <w:bidi w:val="0"/>
        <w:spacing w:line="360" w:lineRule="auto"/>
        <w:ind w:right="893"/>
        <w:jc w:val="both"/>
        <w:outlineLvl w:val="9"/>
        <w:rPr>
          <w:rFonts w:hAnsi="宋体"/>
          <w:color w:val="auto"/>
          <w:kern w:val="2"/>
          <w:sz w:val="21"/>
          <w:lang w:val="zh-CN"/>
        </w:rPr>
      </w:pPr>
    </w:p>
    <w:p>
      <w:pPr>
        <w:kinsoku/>
        <w:overflowPunct/>
        <w:topLinePunct w:val="0"/>
        <w:bidi w:val="0"/>
        <w:spacing w:line="360" w:lineRule="auto"/>
        <w:ind w:right="893"/>
        <w:jc w:val="both"/>
        <w:outlineLvl w:val="9"/>
        <w:rPr>
          <w:rFonts w:hAnsi="宋体"/>
          <w:color w:val="auto"/>
          <w:kern w:val="2"/>
          <w:sz w:val="21"/>
          <w:lang w:val="zh-CN"/>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p>
    <w:p>
      <w:pPr>
        <w:kinsoku/>
        <w:overflowPunct/>
        <w:topLinePunct w:val="0"/>
        <w:bidi w:val="0"/>
        <w:spacing w:line="360" w:lineRule="auto"/>
        <w:outlineLvl w:val="9"/>
        <w:rPr>
          <w:rFonts w:hAnsi="宋体"/>
          <w:b/>
          <w:color w:val="auto"/>
          <w:sz w:val="21"/>
          <w:szCs w:val="20"/>
        </w:rPr>
      </w:pPr>
      <w:r>
        <w:rPr>
          <w:rFonts w:hAnsi="宋体"/>
          <w:b/>
          <w:color w:val="auto"/>
        </w:rPr>
        <w:br w:type="page"/>
      </w:r>
      <w:r>
        <w:rPr>
          <w:rFonts w:hint="eastAsia" w:hAnsi="宋体"/>
          <w:b/>
          <w:color w:val="auto"/>
          <w:sz w:val="21"/>
          <w:szCs w:val="20"/>
        </w:rPr>
        <w:t>附表2.6 退还保证金声明</w:t>
      </w:r>
      <w:r>
        <w:rPr>
          <w:rFonts w:hint="eastAsia" w:hAnsi="宋体"/>
          <w:b/>
          <w:color w:val="auto"/>
          <w:sz w:val="21"/>
          <w:szCs w:val="21"/>
        </w:rPr>
        <w:t>（如有）</w:t>
      </w:r>
    </w:p>
    <w:p>
      <w:pPr>
        <w:kinsoku/>
        <w:overflowPunct/>
        <w:topLinePunct w:val="0"/>
        <w:bidi w:val="0"/>
        <w:spacing w:line="480" w:lineRule="exact"/>
        <w:jc w:val="both"/>
        <w:outlineLvl w:val="9"/>
        <w:rPr>
          <w:rFonts w:hAnsi="宋体"/>
          <w:color w:val="auto"/>
          <w:sz w:val="21"/>
          <w:szCs w:val="21"/>
          <w:u w:val="single"/>
        </w:rPr>
      </w:pPr>
      <w:r>
        <w:rPr>
          <w:rFonts w:hint="eastAsia" w:hAnsi="宋体"/>
          <w:b/>
          <w:color w:val="auto"/>
          <w:sz w:val="21"/>
          <w:szCs w:val="21"/>
          <w:u w:val="single"/>
        </w:rPr>
        <w:t>广东远东招标代理有限公司</w:t>
      </w:r>
      <w:r>
        <w:rPr>
          <w:rFonts w:hint="eastAsia" w:hAnsi="宋体"/>
          <w:color w:val="auto"/>
          <w:sz w:val="21"/>
          <w:szCs w:val="21"/>
          <w:u w:val="single"/>
        </w:rPr>
        <w:t>:</w:t>
      </w:r>
    </w:p>
    <w:p>
      <w:pPr>
        <w:kinsoku/>
        <w:overflowPunct/>
        <w:topLinePunct w:val="0"/>
        <w:bidi w:val="0"/>
        <w:spacing w:line="360" w:lineRule="auto"/>
        <w:ind w:firstLine="480"/>
        <w:outlineLvl w:val="9"/>
        <w:rPr>
          <w:rFonts w:hAnsi="宋体"/>
          <w:color w:val="auto"/>
          <w:sz w:val="21"/>
          <w:szCs w:val="21"/>
        </w:rPr>
      </w:pPr>
      <w:r>
        <w:rPr>
          <w:rFonts w:hint="eastAsia" w:hAnsi="宋体"/>
          <w:color w:val="auto"/>
          <w:sz w:val="21"/>
          <w:szCs w:val="21"/>
        </w:rPr>
        <w:t>我方为</w:t>
      </w:r>
      <w:r>
        <w:rPr>
          <w:rFonts w:hint="eastAsia" w:hAnsi="宋体"/>
          <w:color w:val="auto"/>
          <w:sz w:val="21"/>
          <w:szCs w:val="21"/>
          <w:u w:val="single"/>
        </w:rPr>
        <w:t xml:space="preserve">“ </w:t>
      </w:r>
      <w:r>
        <w:rPr>
          <w:rFonts w:hint="eastAsia" w:hAnsi="宋体"/>
          <w:color w:val="auto"/>
          <w:sz w:val="21"/>
          <w:szCs w:val="21"/>
          <w:u w:val="single"/>
          <w:lang w:eastAsia="zh-CN"/>
        </w:rPr>
        <w:t>洗衣房洗涤用品采购项目（第二次）</w:t>
      </w:r>
      <w:r>
        <w:rPr>
          <w:rFonts w:hint="eastAsia" w:hAnsi="宋体"/>
          <w:color w:val="auto"/>
          <w:sz w:val="21"/>
          <w:szCs w:val="21"/>
          <w:u w:val="single"/>
        </w:rPr>
        <w:t>”</w:t>
      </w:r>
      <w:r>
        <w:rPr>
          <w:rFonts w:hint="eastAsia" w:hAnsi="宋体"/>
          <w:color w:val="auto"/>
          <w:sz w:val="21"/>
          <w:szCs w:val="21"/>
        </w:rPr>
        <w:t>（项目编号：</w:t>
      </w:r>
      <w:r>
        <w:rPr>
          <w:rFonts w:hint="eastAsia" w:hAnsi="宋体"/>
          <w:color w:val="auto"/>
          <w:sz w:val="21"/>
          <w:szCs w:val="21"/>
          <w:lang w:eastAsia="zh-CN"/>
        </w:rPr>
        <w:t>NFQYCG2023002</w:t>
      </w:r>
      <w:r>
        <w:rPr>
          <w:rFonts w:hint="eastAsia" w:hAnsi="宋体"/>
          <w:color w:val="auto"/>
          <w:sz w:val="21"/>
          <w:szCs w:val="21"/>
        </w:rPr>
        <w:t>）提交的</w:t>
      </w:r>
      <w:r>
        <w:rPr>
          <w:rFonts w:hint="eastAsia" w:hAnsi="宋体"/>
          <w:color w:val="auto"/>
          <w:sz w:val="21"/>
          <w:szCs w:val="21"/>
          <w:lang w:eastAsia="zh-CN"/>
        </w:rPr>
        <w:t>响应保证金</w:t>
      </w:r>
      <w:r>
        <w:rPr>
          <w:rFonts w:hint="eastAsia" w:hAnsi="宋体"/>
          <w:color w:val="auto"/>
          <w:sz w:val="21"/>
          <w:szCs w:val="21"/>
        </w:rPr>
        <w:t>，在符合退还条件时请代划入下列账户：</w:t>
      </w:r>
    </w:p>
    <w:tbl>
      <w:tblPr>
        <w:tblStyle w:val="21"/>
        <w:tblW w:w="92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2008"/>
        <w:gridCol w:w="7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Ex>
        <w:trPr>
          <w:trHeight w:val="302"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outlineLvl w:val="9"/>
              <w:rPr>
                <w:rFonts w:hAnsi="宋体"/>
                <w:color w:val="auto"/>
                <w:sz w:val="21"/>
                <w:szCs w:val="21"/>
              </w:rPr>
            </w:pPr>
            <w:r>
              <w:rPr>
                <w:rFonts w:hint="eastAsia" w:hAnsi="宋体"/>
                <w:color w:val="auto"/>
                <w:sz w:val="21"/>
                <w:szCs w:val="21"/>
              </w:rPr>
              <w:t>保证金提交方式</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outlineLvl w:val="9"/>
              <w:rPr>
                <w:rFonts w:hAnsi="宋体"/>
                <w:color w:val="auto"/>
                <w:sz w:val="21"/>
                <w:szCs w:val="21"/>
              </w:rPr>
            </w:pPr>
            <w:r>
              <w:rPr>
                <w:rFonts w:hint="eastAsia" w:hAnsi="宋体"/>
                <w:color w:val="auto"/>
                <w:sz w:val="21"/>
                <w:szCs w:val="21"/>
              </w:rPr>
              <w:t>□银行转账□银行汇票     □现金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outlineLvl w:val="9"/>
              <w:rPr>
                <w:rFonts w:hAnsi="宋体"/>
                <w:color w:val="auto"/>
                <w:sz w:val="21"/>
                <w:szCs w:val="21"/>
              </w:rPr>
            </w:pPr>
            <w:r>
              <w:rPr>
                <w:rFonts w:hint="eastAsia" w:hAnsi="宋体"/>
                <w:color w:val="auto"/>
                <w:sz w:val="21"/>
                <w:szCs w:val="21"/>
              </w:rPr>
              <w:t>开</w:t>
            </w:r>
            <w:r>
              <w:rPr>
                <w:rFonts w:hAnsi="宋体"/>
                <w:color w:val="auto"/>
                <w:sz w:val="21"/>
                <w:szCs w:val="21"/>
              </w:rPr>
              <w:t xml:space="preserve"> 户 人 名 </w:t>
            </w:r>
            <w:r>
              <w:rPr>
                <w:rFonts w:hint="eastAsia" w:hAnsi="宋体"/>
                <w:color w:val="auto"/>
                <w:sz w:val="21"/>
                <w:szCs w:val="21"/>
              </w:rPr>
              <w:t>称</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jc w:val="both"/>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outlineLvl w:val="9"/>
              <w:rPr>
                <w:rFonts w:hAnsi="宋体"/>
                <w:color w:val="auto"/>
                <w:sz w:val="21"/>
                <w:szCs w:val="21"/>
              </w:rPr>
            </w:pPr>
            <w:r>
              <w:rPr>
                <w:rFonts w:hint="eastAsia" w:hAnsi="宋体"/>
                <w:color w:val="auto"/>
                <w:sz w:val="21"/>
                <w:szCs w:val="21"/>
              </w:rPr>
              <w:t>开户银行</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jc w:val="both"/>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outlineLvl w:val="9"/>
              <w:rPr>
                <w:rFonts w:hAnsi="宋体"/>
                <w:color w:val="auto"/>
                <w:sz w:val="21"/>
                <w:szCs w:val="21"/>
              </w:rPr>
            </w:pPr>
            <w:r>
              <w:rPr>
                <w:rFonts w:hint="eastAsia" w:hAnsi="宋体"/>
                <w:color w:val="auto"/>
                <w:sz w:val="21"/>
                <w:szCs w:val="21"/>
              </w:rPr>
              <w:t>银行账号</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jc w:val="both"/>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outlineLvl w:val="9"/>
              <w:rPr>
                <w:rFonts w:hAnsi="宋体"/>
                <w:color w:val="auto"/>
                <w:sz w:val="21"/>
                <w:szCs w:val="21"/>
              </w:rPr>
            </w:pPr>
            <w:r>
              <w:rPr>
                <w:rFonts w:hint="eastAsia" w:hAnsi="宋体"/>
                <w:color w:val="auto"/>
                <w:sz w:val="21"/>
                <w:szCs w:val="21"/>
              </w:rPr>
              <w:t>总金额</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kinsoku/>
              <w:overflowPunct/>
              <w:topLinePunct w:val="0"/>
              <w:bidi w:val="0"/>
              <w:spacing w:line="380" w:lineRule="exact"/>
              <w:outlineLvl w:val="9"/>
              <w:rPr>
                <w:rFonts w:hAnsi="宋体"/>
                <w:color w:val="auto"/>
                <w:sz w:val="21"/>
                <w:szCs w:val="21"/>
              </w:rPr>
            </w:pPr>
            <w:r>
              <w:rPr>
                <w:rFonts w:hint="eastAsia" w:hAnsi="宋体"/>
                <w:color w:val="auto"/>
                <w:sz w:val="21"/>
                <w:szCs w:val="21"/>
              </w:rPr>
              <w:t> </w:t>
            </w:r>
          </w:p>
        </w:tc>
      </w:tr>
    </w:tbl>
    <w:p>
      <w:pPr>
        <w:kinsoku/>
        <w:overflowPunct/>
        <w:topLinePunct w:val="0"/>
        <w:bidi w:val="0"/>
        <w:spacing w:line="360" w:lineRule="auto"/>
        <w:outlineLvl w:val="9"/>
        <w:rPr>
          <w:rFonts w:hAnsi="宋体"/>
          <w:color w:val="auto"/>
          <w:sz w:val="21"/>
          <w:szCs w:val="21"/>
        </w:rPr>
      </w:pPr>
    </w:p>
    <w:p>
      <w:pPr>
        <w:pStyle w:val="15"/>
        <w:kinsoku/>
        <w:overflowPunct/>
        <w:topLinePunct w:val="0"/>
        <w:bidi w:val="0"/>
        <w:outlineLvl w:val="9"/>
        <w:rPr>
          <w:color w:val="auto"/>
        </w:rPr>
      </w:pPr>
    </w:p>
    <w:p>
      <w:pPr>
        <w:kinsoku/>
        <w:overflowPunct/>
        <w:topLinePunct w:val="0"/>
        <w:bidi w:val="0"/>
        <w:outlineLvl w:val="9"/>
        <w:rPr>
          <w:color w:val="auto"/>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p>
    <w:p>
      <w:pPr>
        <w:kinsoku/>
        <w:overflowPunct/>
        <w:topLinePunct w:val="0"/>
        <w:bidi w:val="0"/>
        <w:spacing w:line="360" w:lineRule="auto"/>
        <w:outlineLvl w:val="9"/>
        <w:rPr>
          <w:rFonts w:hAnsi="宋体"/>
          <w:b/>
          <w:color w:val="auto"/>
          <w:sz w:val="21"/>
          <w:szCs w:val="21"/>
        </w:rPr>
      </w:pPr>
      <w:r>
        <w:rPr>
          <w:rFonts w:hint="eastAsia" w:hAnsi="宋体"/>
          <w:color w:val="auto"/>
          <w:sz w:val="21"/>
          <w:szCs w:val="21"/>
          <w:lang w:val="zh-CN"/>
        </w:rPr>
        <w:t>注：银行汇款底单复印件（加盖响应供应商法人公章）或由采购代理机构出具的响应保证金收据复印件及退还保证金声明应装在唱标信封内，封口盖公章并在报价截止时间前提交。</w:t>
      </w: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kinsoku/>
        <w:overflowPunct/>
        <w:topLinePunct w:val="0"/>
        <w:bidi w:val="0"/>
        <w:spacing w:line="360" w:lineRule="auto"/>
        <w:outlineLvl w:val="9"/>
        <w:rPr>
          <w:rFonts w:hAnsi="宋体"/>
          <w:b/>
          <w:color w:val="auto"/>
          <w:sz w:val="21"/>
          <w:szCs w:val="21"/>
        </w:rPr>
      </w:pPr>
    </w:p>
    <w:p>
      <w:pPr>
        <w:pStyle w:val="57"/>
        <w:kinsoku/>
        <w:overflowPunct/>
        <w:topLinePunct w:val="0"/>
        <w:bidi w:val="0"/>
        <w:outlineLvl w:val="9"/>
        <w:rPr>
          <w:rFonts w:hAnsi="宋体"/>
          <w:b/>
          <w:color w:val="auto"/>
          <w:sz w:val="21"/>
          <w:szCs w:val="21"/>
        </w:rPr>
      </w:pPr>
    </w:p>
    <w:p>
      <w:pPr>
        <w:pStyle w:val="10"/>
        <w:kinsoku/>
        <w:overflowPunct/>
        <w:topLinePunct w:val="0"/>
        <w:bidi w:val="0"/>
        <w:outlineLvl w:val="9"/>
        <w:rPr>
          <w:color w:val="auto"/>
        </w:rPr>
      </w:pPr>
    </w:p>
    <w:p>
      <w:pPr>
        <w:pStyle w:val="57"/>
        <w:kinsoku/>
        <w:overflowPunct/>
        <w:topLinePunct w:val="0"/>
        <w:bidi w:val="0"/>
        <w:outlineLvl w:val="9"/>
        <w:rPr>
          <w:rFonts w:hAnsi="宋体"/>
          <w:b/>
          <w:color w:val="auto"/>
          <w:sz w:val="21"/>
          <w:szCs w:val="21"/>
        </w:rPr>
      </w:pPr>
    </w:p>
    <w:p>
      <w:pPr>
        <w:pStyle w:val="57"/>
        <w:kinsoku/>
        <w:overflowPunct/>
        <w:topLinePunct w:val="0"/>
        <w:bidi w:val="0"/>
        <w:outlineLvl w:val="9"/>
        <w:rPr>
          <w:rFonts w:hAnsi="宋体"/>
          <w:b/>
          <w:color w:val="auto"/>
          <w:sz w:val="21"/>
          <w:szCs w:val="21"/>
        </w:rPr>
      </w:pPr>
    </w:p>
    <w:p>
      <w:pPr>
        <w:kinsoku/>
        <w:overflowPunct/>
        <w:topLinePunct w:val="0"/>
        <w:bidi w:val="0"/>
        <w:spacing w:after="120" w:line="480" w:lineRule="exact"/>
        <w:outlineLvl w:val="9"/>
        <w:rPr>
          <w:rFonts w:hAnsi="宋体"/>
          <w:b/>
          <w:bCs/>
          <w:color w:val="auto"/>
          <w:sz w:val="21"/>
          <w:szCs w:val="21"/>
        </w:rPr>
      </w:pPr>
      <w:r>
        <w:rPr>
          <w:rFonts w:hint="eastAsia" w:hAnsi="宋体"/>
          <w:b/>
          <w:bCs/>
          <w:color w:val="auto"/>
          <w:sz w:val="21"/>
          <w:szCs w:val="21"/>
        </w:rPr>
        <w:t>附表2.7 项目管理架构格式</w:t>
      </w:r>
    </w:p>
    <w:p>
      <w:pPr>
        <w:kinsoku/>
        <w:overflowPunct/>
        <w:topLinePunct w:val="0"/>
        <w:bidi w:val="0"/>
        <w:outlineLvl w:val="9"/>
        <w:rPr>
          <w:rFonts w:hAnsi="宋体"/>
          <w:color w:val="auto"/>
          <w:sz w:val="21"/>
          <w:szCs w:val="21"/>
        </w:rPr>
      </w:pPr>
    </w:p>
    <w:tbl>
      <w:tblPr>
        <w:tblStyle w:val="21"/>
        <w:tblW w:w="102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589"/>
        <w:gridCol w:w="993"/>
        <w:gridCol w:w="3094"/>
        <w:gridCol w:w="796"/>
        <w:gridCol w:w="796"/>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exact"/>
          <w:jc w:val="center"/>
        </w:trPr>
        <w:tc>
          <w:tcPr>
            <w:tcW w:w="1223" w:type="dxa"/>
            <w:tcBorders>
              <w:top w:val="single" w:color="auto" w:sz="4" w:space="0"/>
              <w:left w:val="single" w:color="auto" w:sz="4" w:space="0"/>
              <w:bottom w:val="nil"/>
              <w:right w:val="single" w:color="auto" w:sz="4" w:space="0"/>
            </w:tcBorders>
            <w:shd w:val="clear" w:color="auto" w:fill="F3F3F3"/>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职责分工</w:t>
            </w:r>
          </w:p>
        </w:tc>
        <w:tc>
          <w:tcPr>
            <w:tcW w:w="1589" w:type="dxa"/>
            <w:tcBorders>
              <w:top w:val="single" w:color="auto" w:sz="4" w:space="0"/>
              <w:left w:val="single" w:color="auto" w:sz="4" w:space="0"/>
              <w:bottom w:val="nil"/>
              <w:right w:val="single" w:color="auto" w:sz="4" w:space="0"/>
            </w:tcBorders>
            <w:shd w:val="clear" w:color="auto" w:fill="F3F3F3"/>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姓名</w:t>
            </w:r>
          </w:p>
        </w:tc>
        <w:tc>
          <w:tcPr>
            <w:tcW w:w="993" w:type="dxa"/>
            <w:tcBorders>
              <w:top w:val="single" w:color="auto" w:sz="4" w:space="0"/>
              <w:left w:val="single" w:color="auto" w:sz="4" w:space="0"/>
              <w:bottom w:val="nil"/>
            </w:tcBorders>
            <w:shd w:val="clear" w:color="auto" w:fill="F3F3F3"/>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现职务</w:t>
            </w:r>
          </w:p>
        </w:tc>
        <w:tc>
          <w:tcPr>
            <w:tcW w:w="3094" w:type="dxa"/>
            <w:tcBorders>
              <w:top w:val="single" w:color="auto" w:sz="4" w:space="0"/>
              <w:bottom w:val="nil"/>
            </w:tcBorders>
            <w:shd w:val="clear" w:color="auto" w:fill="F3F3F3"/>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曾主持/参与的同类项目经历</w:t>
            </w:r>
          </w:p>
        </w:tc>
        <w:tc>
          <w:tcPr>
            <w:tcW w:w="796" w:type="dxa"/>
            <w:tcBorders>
              <w:top w:val="single" w:color="auto" w:sz="4" w:space="0"/>
              <w:bottom w:val="nil"/>
            </w:tcBorders>
            <w:shd w:val="clear" w:color="auto" w:fill="F3F3F3"/>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职称</w:t>
            </w:r>
          </w:p>
        </w:tc>
        <w:tc>
          <w:tcPr>
            <w:tcW w:w="796" w:type="dxa"/>
            <w:tcBorders>
              <w:top w:val="single" w:color="auto" w:sz="4" w:space="0"/>
              <w:bottom w:val="nil"/>
              <w:right w:val="single" w:color="auto" w:sz="4" w:space="0"/>
            </w:tcBorders>
            <w:shd w:val="clear" w:color="auto" w:fill="F3F3F3"/>
            <w:vAlign w:val="center"/>
          </w:tcPr>
          <w:p>
            <w:pPr>
              <w:kinsoku/>
              <w:overflowPunct/>
              <w:topLinePunct w:val="0"/>
              <w:bidi w:val="0"/>
              <w:ind w:firstLine="12"/>
              <w:jc w:val="center"/>
              <w:outlineLvl w:val="9"/>
              <w:rPr>
                <w:rFonts w:hAnsi="宋体"/>
                <w:color w:val="auto"/>
                <w:sz w:val="21"/>
                <w:szCs w:val="21"/>
              </w:rPr>
            </w:pPr>
            <w:r>
              <w:rPr>
                <w:rFonts w:hint="eastAsia" w:hAnsi="宋体"/>
                <w:color w:val="auto"/>
                <w:sz w:val="21"/>
                <w:szCs w:val="21"/>
              </w:rPr>
              <w:t>专业工龄</w:t>
            </w:r>
          </w:p>
        </w:tc>
        <w:tc>
          <w:tcPr>
            <w:tcW w:w="1789" w:type="dxa"/>
            <w:tcBorders>
              <w:top w:val="single" w:color="auto" w:sz="4" w:space="0"/>
              <w:bottom w:val="nil"/>
              <w:right w:val="single" w:color="auto" w:sz="4" w:space="0"/>
            </w:tcBorders>
            <w:shd w:val="clear" w:color="auto" w:fill="F3F3F3"/>
            <w:vAlign w:val="center"/>
          </w:tcPr>
          <w:p>
            <w:pPr>
              <w:kinsoku/>
              <w:overflowPunct/>
              <w:topLinePunct w:val="0"/>
              <w:bidi w:val="0"/>
              <w:ind w:firstLine="12"/>
              <w:jc w:val="center"/>
              <w:outlineLvl w:val="9"/>
              <w:rPr>
                <w:rFonts w:hAnsi="宋体"/>
                <w:color w:val="auto"/>
                <w:sz w:val="21"/>
                <w:szCs w:val="21"/>
              </w:rPr>
            </w:pPr>
            <w:r>
              <w:rPr>
                <w:rFonts w:hint="eastAsia" w:hAnsi="宋体"/>
                <w:color w:val="auto"/>
                <w:sz w:val="21"/>
                <w:szCs w:val="21"/>
              </w:rPr>
              <w:t>联系电话/手机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223" w:type="dxa"/>
            <w:tcBorders>
              <w:top w:val="single" w:color="auto" w:sz="4" w:space="0"/>
              <w:left w:val="single" w:color="auto" w:sz="4" w:space="0"/>
              <w:bottom w:val="nil"/>
              <w:right w:val="single" w:color="auto" w:sz="4" w:space="0"/>
            </w:tcBorders>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总负责人</w:t>
            </w:r>
          </w:p>
        </w:tc>
        <w:tc>
          <w:tcPr>
            <w:tcW w:w="1589" w:type="dxa"/>
            <w:tcBorders>
              <w:top w:val="single" w:color="auto" w:sz="4" w:space="0"/>
              <w:left w:val="single" w:color="auto" w:sz="4" w:space="0"/>
              <w:bottom w:val="nil"/>
              <w:right w:val="single" w:color="auto" w:sz="4" w:space="0"/>
            </w:tcBorders>
            <w:vAlign w:val="center"/>
          </w:tcPr>
          <w:p>
            <w:pPr>
              <w:kinsoku/>
              <w:overflowPunct/>
              <w:topLinePunct w:val="0"/>
              <w:bidi w:val="0"/>
              <w:jc w:val="center"/>
              <w:outlineLvl w:val="9"/>
              <w:rPr>
                <w:rFonts w:hAnsi="宋体"/>
                <w:color w:val="auto"/>
                <w:sz w:val="21"/>
                <w:szCs w:val="21"/>
              </w:rPr>
            </w:pPr>
          </w:p>
        </w:tc>
        <w:tc>
          <w:tcPr>
            <w:tcW w:w="993" w:type="dxa"/>
            <w:tcBorders>
              <w:top w:val="single" w:color="auto" w:sz="4" w:space="0"/>
              <w:left w:val="single" w:color="auto" w:sz="4" w:space="0"/>
              <w:bottom w:val="nil"/>
            </w:tcBorders>
            <w:vAlign w:val="center"/>
          </w:tcPr>
          <w:p>
            <w:pPr>
              <w:kinsoku/>
              <w:overflowPunct/>
              <w:topLinePunct w:val="0"/>
              <w:bidi w:val="0"/>
              <w:jc w:val="center"/>
              <w:outlineLvl w:val="9"/>
              <w:rPr>
                <w:rFonts w:hAnsi="宋体"/>
                <w:color w:val="auto"/>
                <w:sz w:val="21"/>
                <w:szCs w:val="21"/>
              </w:rPr>
            </w:pPr>
          </w:p>
        </w:tc>
        <w:tc>
          <w:tcPr>
            <w:tcW w:w="3094" w:type="dxa"/>
            <w:tcBorders>
              <w:top w:val="single" w:color="auto" w:sz="4" w:space="0"/>
              <w:bottom w:val="nil"/>
            </w:tcBorders>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sz w:val="21"/>
                <w:szCs w:val="21"/>
              </w:rPr>
            </w:pPr>
          </w:p>
        </w:tc>
        <w:tc>
          <w:tcPr>
            <w:tcW w:w="796" w:type="dxa"/>
            <w:tcBorders>
              <w:top w:val="single" w:color="auto" w:sz="4" w:space="0"/>
              <w:bottom w:val="nil"/>
            </w:tcBorders>
            <w:vAlign w:val="center"/>
          </w:tcPr>
          <w:p>
            <w:pPr>
              <w:kinsoku/>
              <w:overflowPunct/>
              <w:topLinePunct w:val="0"/>
              <w:bidi w:val="0"/>
              <w:jc w:val="center"/>
              <w:outlineLvl w:val="9"/>
              <w:rPr>
                <w:rFonts w:hAnsi="宋体"/>
                <w:color w:val="auto"/>
                <w:sz w:val="21"/>
                <w:szCs w:val="21"/>
              </w:rPr>
            </w:pPr>
          </w:p>
        </w:tc>
        <w:tc>
          <w:tcPr>
            <w:tcW w:w="796" w:type="dxa"/>
            <w:tcBorders>
              <w:top w:val="single" w:color="auto" w:sz="4" w:space="0"/>
              <w:bottom w:val="nil"/>
              <w:right w:val="single" w:color="auto" w:sz="4" w:space="0"/>
            </w:tcBorders>
            <w:vAlign w:val="center"/>
          </w:tcPr>
          <w:p>
            <w:pPr>
              <w:kinsoku/>
              <w:overflowPunct/>
              <w:topLinePunct w:val="0"/>
              <w:bidi w:val="0"/>
              <w:ind w:firstLine="12"/>
              <w:jc w:val="center"/>
              <w:outlineLvl w:val="9"/>
              <w:rPr>
                <w:rFonts w:hAnsi="宋体"/>
                <w:color w:val="auto"/>
                <w:sz w:val="21"/>
                <w:szCs w:val="21"/>
              </w:rPr>
            </w:pPr>
          </w:p>
        </w:tc>
        <w:tc>
          <w:tcPr>
            <w:tcW w:w="1789" w:type="dxa"/>
            <w:tcBorders>
              <w:top w:val="single" w:color="auto" w:sz="4" w:space="0"/>
              <w:bottom w:val="nil"/>
              <w:right w:val="single" w:color="auto" w:sz="4" w:space="0"/>
            </w:tcBorders>
            <w:vAlign w:val="center"/>
          </w:tcPr>
          <w:p>
            <w:pPr>
              <w:kinsoku/>
              <w:overflowPunct/>
              <w:topLinePunct w:val="0"/>
              <w:bidi w:val="0"/>
              <w:ind w:firstLine="12"/>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223" w:type="dxa"/>
            <w:vMerge w:val="restart"/>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其他主要技术人员</w:t>
            </w:r>
          </w:p>
        </w:tc>
        <w:tc>
          <w:tcPr>
            <w:tcW w:w="1589" w:type="dxa"/>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p>
        </w:tc>
        <w:tc>
          <w:tcPr>
            <w:tcW w:w="993" w:type="dxa"/>
            <w:tcBorders>
              <w:left w:val="single" w:color="auto" w:sz="4" w:space="0"/>
            </w:tcBorders>
            <w:vAlign w:val="center"/>
          </w:tcPr>
          <w:p>
            <w:pPr>
              <w:kinsoku/>
              <w:overflowPunct/>
              <w:topLinePunct w:val="0"/>
              <w:bidi w:val="0"/>
              <w:jc w:val="center"/>
              <w:outlineLvl w:val="9"/>
              <w:rPr>
                <w:rFonts w:hAnsi="宋体"/>
                <w:color w:val="auto"/>
                <w:sz w:val="21"/>
                <w:szCs w:val="21"/>
              </w:rPr>
            </w:pPr>
          </w:p>
        </w:tc>
        <w:tc>
          <w:tcPr>
            <w:tcW w:w="3094" w:type="dxa"/>
            <w:vAlign w:val="center"/>
          </w:tcPr>
          <w:p>
            <w:pPr>
              <w:kinsoku/>
              <w:overflowPunct/>
              <w:topLinePunct w:val="0"/>
              <w:bidi w:val="0"/>
              <w:jc w:val="center"/>
              <w:outlineLvl w:val="9"/>
              <w:rPr>
                <w:rFonts w:hAnsi="宋体"/>
                <w:color w:val="auto"/>
                <w:sz w:val="21"/>
                <w:szCs w:val="21"/>
              </w:rPr>
            </w:pPr>
          </w:p>
        </w:tc>
        <w:tc>
          <w:tcPr>
            <w:tcW w:w="796" w:type="dxa"/>
            <w:vAlign w:val="center"/>
          </w:tcPr>
          <w:p>
            <w:pPr>
              <w:kinsoku/>
              <w:overflowPunct/>
              <w:topLinePunct w:val="0"/>
              <w:bidi w:val="0"/>
              <w:jc w:val="center"/>
              <w:outlineLvl w:val="9"/>
              <w:rPr>
                <w:rFonts w:hAnsi="宋体"/>
                <w:color w:val="auto"/>
                <w:sz w:val="21"/>
                <w:szCs w:val="21"/>
              </w:rPr>
            </w:pPr>
          </w:p>
        </w:tc>
        <w:tc>
          <w:tcPr>
            <w:tcW w:w="796"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c>
          <w:tcPr>
            <w:tcW w:w="1789"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223" w:type="dxa"/>
            <w:vMerge w:val="continue"/>
            <w:tcBorders>
              <w:left w:val="single" w:color="auto" w:sz="4" w:space="0"/>
              <w:right w:val="single" w:color="auto" w:sz="4" w:space="0"/>
            </w:tcBorders>
            <w:vAlign w:val="center"/>
          </w:tcPr>
          <w:p>
            <w:pPr>
              <w:kinsoku/>
              <w:overflowPunct/>
              <w:topLinePunct w:val="0"/>
              <w:bidi w:val="0"/>
              <w:outlineLvl w:val="9"/>
              <w:rPr>
                <w:rFonts w:hAnsi="宋体"/>
                <w:color w:val="auto"/>
                <w:sz w:val="21"/>
                <w:szCs w:val="21"/>
              </w:rPr>
            </w:pPr>
          </w:p>
        </w:tc>
        <w:tc>
          <w:tcPr>
            <w:tcW w:w="1589" w:type="dxa"/>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p>
        </w:tc>
        <w:tc>
          <w:tcPr>
            <w:tcW w:w="993" w:type="dxa"/>
            <w:tcBorders>
              <w:left w:val="single" w:color="auto" w:sz="4" w:space="0"/>
            </w:tcBorders>
            <w:vAlign w:val="center"/>
          </w:tcPr>
          <w:p>
            <w:pPr>
              <w:kinsoku/>
              <w:overflowPunct/>
              <w:topLinePunct w:val="0"/>
              <w:bidi w:val="0"/>
              <w:jc w:val="center"/>
              <w:outlineLvl w:val="9"/>
              <w:rPr>
                <w:rFonts w:hAnsi="宋体"/>
                <w:color w:val="auto"/>
                <w:sz w:val="21"/>
                <w:szCs w:val="21"/>
              </w:rPr>
            </w:pPr>
          </w:p>
        </w:tc>
        <w:tc>
          <w:tcPr>
            <w:tcW w:w="3094" w:type="dxa"/>
            <w:vAlign w:val="center"/>
          </w:tcPr>
          <w:p>
            <w:pPr>
              <w:kinsoku/>
              <w:overflowPunct/>
              <w:topLinePunct w:val="0"/>
              <w:bidi w:val="0"/>
              <w:jc w:val="center"/>
              <w:outlineLvl w:val="9"/>
              <w:rPr>
                <w:rFonts w:hAnsi="宋体"/>
                <w:color w:val="auto"/>
                <w:sz w:val="21"/>
                <w:szCs w:val="21"/>
              </w:rPr>
            </w:pPr>
          </w:p>
        </w:tc>
        <w:tc>
          <w:tcPr>
            <w:tcW w:w="796" w:type="dxa"/>
            <w:vAlign w:val="center"/>
          </w:tcPr>
          <w:p>
            <w:pPr>
              <w:kinsoku/>
              <w:overflowPunct/>
              <w:topLinePunct w:val="0"/>
              <w:bidi w:val="0"/>
              <w:jc w:val="center"/>
              <w:outlineLvl w:val="9"/>
              <w:rPr>
                <w:rFonts w:hAnsi="宋体"/>
                <w:color w:val="auto"/>
                <w:sz w:val="21"/>
                <w:szCs w:val="21"/>
              </w:rPr>
            </w:pPr>
          </w:p>
        </w:tc>
        <w:tc>
          <w:tcPr>
            <w:tcW w:w="796"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c>
          <w:tcPr>
            <w:tcW w:w="1789"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223" w:type="dxa"/>
            <w:vMerge w:val="continue"/>
            <w:tcBorders>
              <w:left w:val="single" w:color="auto" w:sz="4" w:space="0"/>
              <w:right w:val="single" w:color="auto" w:sz="4" w:space="0"/>
            </w:tcBorders>
            <w:vAlign w:val="center"/>
          </w:tcPr>
          <w:p>
            <w:pPr>
              <w:kinsoku/>
              <w:overflowPunct/>
              <w:topLinePunct w:val="0"/>
              <w:bidi w:val="0"/>
              <w:outlineLvl w:val="9"/>
              <w:rPr>
                <w:rFonts w:hAnsi="宋体"/>
                <w:color w:val="auto"/>
                <w:sz w:val="21"/>
                <w:szCs w:val="21"/>
              </w:rPr>
            </w:pPr>
          </w:p>
        </w:tc>
        <w:tc>
          <w:tcPr>
            <w:tcW w:w="1589" w:type="dxa"/>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p>
        </w:tc>
        <w:tc>
          <w:tcPr>
            <w:tcW w:w="993" w:type="dxa"/>
            <w:tcBorders>
              <w:left w:val="single" w:color="auto" w:sz="4" w:space="0"/>
            </w:tcBorders>
            <w:vAlign w:val="center"/>
          </w:tcPr>
          <w:p>
            <w:pPr>
              <w:kinsoku/>
              <w:overflowPunct/>
              <w:topLinePunct w:val="0"/>
              <w:bidi w:val="0"/>
              <w:jc w:val="center"/>
              <w:outlineLvl w:val="9"/>
              <w:rPr>
                <w:rFonts w:hAnsi="宋体"/>
                <w:color w:val="auto"/>
                <w:sz w:val="21"/>
                <w:szCs w:val="21"/>
              </w:rPr>
            </w:pPr>
          </w:p>
        </w:tc>
        <w:tc>
          <w:tcPr>
            <w:tcW w:w="3094" w:type="dxa"/>
            <w:vAlign w:val="center"/>
          </w:tcPr>
          <w:p>
            <w:pPr>
              <w:kinsoku/>
              <w:overflowPunct/>
              <w:topLinePunct w:val="0"/>
              <w:bidi w:val="0"/>
              <w:jc w:val="center"/>
              <w:outlineLvl w:val="9"/>
              <w:rPr>
                <w:rFonts w:hAnsi="宋体"/>
                <w:color w:val="auto"/>
                <w:sz w:val="21"/>
                <w:szCs w:val="21"/>
              </w:rPr>
            </w:pPr>
          </w:p>
        </w:tc>
        <w:tc>
          <w:tcPr>
            <w:tcW w:w="796" w:type="dxa"/>
            <w:vAlign w:val="center"/>
          </w:tcPr>
          <w:p>
            <w:pPr>
              <w:kinsoku/>
              <w:overflowPunct/>
              <w:topLinePunct w:val="0"/>
              <w:bidi w:val="0"/>
              <w:jc w:val="center"/>
              <w:outlineLvl w:val="9"/>
              <w:rPr>
                <w:rFonts w:hAnsi="宋体"/>
                <w:color w:val="auto"/>
                <w:sz w:val="21"/>
                <w:szCs w:val="21"/>
              </w:rPr>
            </w:pPr>
          </w:p>
        </w:tc>
        <w:tc>
          <w:tcPr>
            <w:tcW w:w="796"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c>
          <w:tcPr>
            <w:tcW w:w="1789"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223" w:type="dxa"/>
            <w:vMerge w:val="continue"/>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p>
        </w:tc>
        <w:tc>
          <w:tcPr>
            <w:tcW w:w="1589" w:type="dxa"/>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p>
        </w:tc>
        <w:tc>
          <w:tcPr>
            <w:tcW w:w="993" w:type="dxa"/>
            <w:tcBorders>
              <w:left w:val="single" w:color="auto" w:sz="4" w:space="0"/>
            </w:tcBorders>
            <w:vAlign w:val="center"/>
          </w:tcPr>
          <w:p>
            <w:pPr>
              <w:kinsoku/>
              <w:overflowPunct/>
              <w:topLinePunct w:val="0"/>
              <w:bidi w:val="0"/>
              <w:jc w:val="center"/>
              <w:outlineLvl w:val="9"/>
              <w:rPr>
                <w:rFonts w:hAnsi="宋体"/>
                <w:color w:val="auto"/>
                <w:sz w:val="21"/>
                <w:szCs w:val="21"/>
              </w:rPr>
            </w:pPr>
          </w:p>
        </w:tc>
        <w:tc>
          <w:tcPr>
            <w:tcW w:w="3094" w:type="dxa"/>
            <w:vAlign w:val="center"/>
          </w:tcPr>
          <w:p>
            <w:pPr>
              <w:kinsoku/>
              <w:overflowPunct/>
              <w:topLinePunct w:val="0"/>
              <w:bidi w:val="0"/>
              <w:jc w:val="center"/>
              <w:outlineLvl w:val="9"/>
              <w:rPr>
                <w:rFonts w:hAnsi="宋体"/>
                <w:color w:val="auto"/>
                <w:sz w:val="21"/>
                <w:szCs w:val="21"/>
              </w:rPr>
            </w:pPr>
          </w:p>
        </w:tc>
        <w:tc>
          <w:tcPr>
            <w:tcW w:w="796" w:type="dxa"/>
            <w:vAlign w:val="center"/>
          </w:tcPr>
          <w:p>
            <w:pPr>
              <w:kinsoku/>
              <w:overflowPunct/>
              <w:topLinePunct w:val="0"/>
              <w:bidi w:val="0"/>
              <w:jc w:val="center"/>
              <w:outlineLvl w:val="9"/>
              <w:rPr>
                <w:rFonts w:hAnsi="宋体"/>
                <w:color w:val="auto"/>
                <w:sz w:val="21"/>
                <w:szCs w:val="21"/>
              </w:rPr>
            </w:pPr>
          </w:p>
        </w:tc>
        <w:tc>
          <w:tcPr>
            <w:tcW w:w="796"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c>
          <w:tcPr>
            <w:tcW w:w="1789"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223" w:type="dxa"/>
            <w:vMerge w:val="continue"/>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p>
        </w:tc>
        <w:tc>
          <w:tcPr>
            <w:tcW w:w="1589" w:type="dxa"/>
            <w:tcBorders>
              <w:left w:val="single" w:color="auto" w:sz="4" w:space="0"/>
              <w:right w:val="single" w:color="auto" w:sz="4" w:space="0"/>
            </w:tcBorders>
            <w:vAlign w:val="center"/>
          </w:tcPr>
          <w:p>
            <w:pPr>
              <w:kinsoku/>
              <w:overflowPunct/>
              <w:topLinePunct w:val="0"/>
              <w:bidi w:val="0"/>
              <w:jc w:val="center"/>
              <w:outlineLvl w:val="9"/>
              <w:rPr>
                <w:rFonts w:hAnsi="宋体"/>
                <w:color w:val="auto"/>
                <w:sz w:val="21"/>
                <w:szCs w:val="21"/>
              </w:rPr>
            </w:pPr>
            <w:r>
              <w:rPr>
                <w:rFonts w:hint="eastAsia" w:hAnsi="宋体"/>
                <w:color w:val="auto"/>
                <w:sz w:val="21"/>
                <w:szCs w:val="21"/>
              </w:rPr>
              <w:t>…</w:t>
            </w:r>
          </w:p>
        </w:tc>
        <w:tc>
          <w:tcPr>
            <w:tcW w:w="993" w:type="dxa"/>
            <w:tcBorders>
              <w:left w:val="single" w:color="auto" w:sz="4" w:space="0"/>
            </w:tcBorders>
            <w:vAlign w:val="center"/>
          </w:tcPr>
          <w:p>
            <w:pPr>
              <w:kinsoku/>
              <w:overflowPunct/>
              <w:topLinePunct w:val="0"/>
              <w:bidi w:val="0"/>
              <w:jc w:val="center"/>
              <w:outlineLvl w:val="9"/>
              <w:rPr>
                <w:rFonts w:hAnsi="宋体"/>
                <w:color w:val="auto"/>
                <w:sz w:val="21"/>
                <w:szCs w:val="21"/>
              </w:rPr>
            </w:pPr>
          </w:p>
        </w:tc>
        <w:tc>
          <w:tcPr>
            <w:tcW w:w="3094" w:type="dxa"/>
            <w:vAlign w:val="center"/>
          </w:tcPr>
          <w:p>
            <w:pPr>
              <w:kinsoku/>
              <w:overflowPunct/>
              <w:topLinePunct w:val="0"/>
              <w:bidi w:val="0"/>
              <w:jc w:val="center"/>
              <w:outlineLvl w:val="9"/>
              <w:rPr>
                <w:rFonts w:hAnsi="宋体"/>
                <w:color w:val="auto"/>
                <w:sz w:val="21"/>
                <w:szCs w:val="21"/>
              </w:rPr>
            </w:pPr>
          </w:p>
        </w:tc>
        <w:tc>
          <w:tcPr>
            <w:tcW w:w="796" w:type="dxa"/>
            <w:vAlign w:val="center"/>
          </w:tcPr>
          <w:p>
            <w:pPr>
              <w:kinsoku/>
              <w:overflowPunct/>
              <w:topLinePunct w:val="0"/>
              <w:bidi w:val="0"/>
              <w:jc w:val="center"/>
              <w:outlineLvl w:val="9"/>
              <w:rPr>
                <w:rFonts w:hAnsi="宋体"/>
                <w:color w:val="auto"/>
                <w:sz w:val="21"/>
                <w:szCs w:val="21"/>
              </w:rPr>
            </w:pPr>
          </w:p>
        </w:tc>
        <w:tc>
          <w:tcPr>
            <w:tcW w:w="796"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c>
          <w:tcPr>
            <w:tcW w:w="1789" w:type="dxa"/>
            <w:tcBorders>
              <w:right w:val="single" w:color="auto" w:sz="4" w:space="0"/>
            </w:tcBorders>
            <w:vAlign w:val="center"/>
          </w:tcPr>
          <w:p>
            <w:pPr>
              <w:kinsoku/>
              <w:overflowPunct/>
              <w:topLinePunct w:val="0"/>
              <w:bidi w:val="0"/>
              <w:jc w:val="center"/>
              <w:outlineLvl w:val="9"/>
              <w:rPr>
                <w:rFonts w:hAnsi="宋体"/>
                <w:color w:val="auto"/>
                <w:sz w:val="21"/>
                <w:szCs w:val="21"/>
              </w:rPr>
            </w:pPr>
          </w:p>
        </w:tc>
      </w:tr>
    </w:tbl>
    <w:p>
      <w:pPr>
        <w:pStyle w:val="57"/>
        <w:kinsoku/>
        <w:overflowPunct/>
        <w:topLinePunct w:val="0"/>
        <w:bidi w:val="0"/>
        <w:outlineLvl w:val="9"/>
        <w:rPr>
          <w:rFonts w:ascii="宋体" w:hAnsi="宋体"/>
          <w:bCs w:val="0"/>
          <w:color w:val="auto"/>
          <w:spacing w:val="0"/>
          <w:sz w:val="21"/>
          <w:szCs w:val="21"/>
        </w:rPr>
      </w:pPr>
    </w:p>
    <w:p>
      <w:pPr>
        <w:kinsoku/>
        <w:overflowPunct/>
        <w:topLinePunct w:val="0"/>
        <w:bidi w:val="0"/>
        <w:snapToGrid w:val="0"/>
        <w:spacing w:line="360" w:lineRule="auto"/>
        <w:outlineLvl w:val="9"/>
        <w:rPr>
          <w:rFonts w:hAnsi="宋体"/>
          <w:color w:val="auto"/>
          <w:sz w:val="21"/>
          <w:szCs w:val="21"/>
        </w:rPr>
      </w:pPr>
    </w:p>
    <w:p>
      <w:pPr>
        <w:pStyle w:val="15"/>
        <w:kinsoku/>
        <w:overflowPunct/>
        <w:topLinePunct w:val="0"/>
        <w:bidi w:val="0"/>
        <w:outlineLvl w:val="9"/>
        <w:rPr>
          <w:color w:val="auto"/>
        </w:rPr>
      </w:pPr>
    </w:p>
    <w:p>
      <w:pPr>
        <w:kinsoku/>
        <w:overflowPunct/>
        <w:topLinePunct w:val="0"/>
        <w:bidi w:val="0"/>
        <w:outlineLvl w:val="9"/>
        <w:rPr>
          <w:color w:val="auto"/>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napToGrid w:val="0"/>
        <w:spacing w:line="360" w:lineRule="auto"/>
        <w:outlineLvl w:val="9"/>
        <w:rPr>
          <w:rFonts w:hAnsi="宋体"/>
          <w:color w:val="auto"/>
          <w:sz w:val="21"/>
          <w:szCs w:val="21"/>
        </w:rPr>
      </w:pPr>
    </w:p>
    <w:p>
      <w:pPr>
        <w:pageBreakBefore/>
        <w:kinsoku/>
        <w:overflowPunct/>
        <w:topLinePunct w:val="0"/>
        <w:bidi w:val="0"/>
        <w:spacing w:after="120" w:line="480" w:lineRule="exact"/>
        <w:outlineLvl w:val="9"/>
        <w:rPr>
          <w:rFonts w:hAnsi="宋体"/>
          <w:b/>
          <w:bCs/>
          <w:color w:val="auto"/>
          <w:sz w:val="21"/>
          <w:szCs w:val="20"/>
        </w:rPr>
      </w:pPr>
      <w:r>
        <w:rPr>
          <w:rFonts w:hint="eastAsia" w:hAnsi="宋体"/>
          <w:b/>
          <w:bCs/>
          <w:color w:val="auto"/>
          <w:sz w:val="21"/>
          <w:szCs w:val="20"/>
        </w:rPr>
        <w:t>附表2.8 实质性响应</w:t>
      </w:r>
      <w:r>
        <w:rPr>
          <w:rFonts w:hint="eastAsia" w:hAnsi="宋体"/>
          <w:b/>
          <w:bCs/>
          <w:color w:val="auto"/>
          <w:sz w:val="21"/>
          <w:szCs w:val="20"/>
          <w:lang w:eastAsia="zh-CN"/>
        </w:rPr>
        <w:t>采购需求</w:t>
      </w:r>
      <w:r>
        <w:rPr>
          <w:rFonts w:hint="eastAsia" w:hAnsi="宋体"/>
          <w:b/>
          <w:bCs/>
          <w:color w:val="auto"/>
          <w:sz w:val="21"/>
          <w:szCs w:val="20"/>
        </w:rPr>
        <w:t>条款响应表格式</w:t>
      </w:r>
    </w:p>
    <w:p>
      <w:pPr>
        <w:pStyle w:val="57"/>
        <w:kinsoku/>
        <w:overflowPunct/>
        <w:topLinePunct w:val="0"/>
        <w:bidi w:val="0"/>
        <w:outlineLvl w:val="9"/>
        <w:rPr>
          <w:rFonts w:hAnsi="宋体"/>
          <w:color w:val="auto"/>
          <w:sz w:val="21"/>
        </w:rPr>
      </w:pPr>
    </w:p>
    <w:p>
      <w:pPr>
        <w:pStyle w:val="57"/>
        <w:kinsoku/>
        <w:overflowPunct/>
        <w:topLinePunct w:val="0"/>
        <w:bidi w:val="0"/>
        <w:jc w:val="center"/>
        <w:outlineLvl w:val="9"/>
        <w:rPr>
          <w:rFonts w:hAnsi="宋体"/>
          <w:color w:val="auto"/>
          <w:sz w:val="28"/>
          <w:szCs w:val="28"/>
        </w:rPr>
      </w:pPr>
      <w:r>
        <w:rPr>
          <w:rFonts w:hint="eastAsia" w:hAnsi="宋体"/>
          <w:color w:val="auto"/>
          <w:sz w:val="28"/>
          <w:szCs w:val="28"/>
        </w:rPr>
        <w:t>实质性响应条款响应表</w:t>
      </w:r>
    </w:p>
    <w:tbl>
      <w:tblPr>
        <w:tblStyle w:val="21"/>
        <w:tblW w:w="9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809"/>
        <w:gridCol w:w="816"/>
        <w:gridCol w:w="2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trPr>
        <w:tc>
          <w:tcPr>
            <w:tcW w:w="709" w:type="dxa"/>
            <w:shd w:val="clear" w:color="auto" w:fill="F3F3F3"/>
            <w:vAlign w:val="center"/>
          </w:tcPr>
          <w:p>
            <w:pPr>
              <w:kinsoku/>
              <w:overflowPunct/>
              <w:topLinePunct w:val="0"/>
              <w:bidi w:val="0"/>
              <w:jc w:val="center"/>
              <w:outlineLvl w:val="9"/>
              <w:rPr>
                <w:rFonts w:hAnsi="宋体"/>
                <w:bCs/>
                <w:color w:val="auto"/>
                <w:sz w:val="21"/>
                <w:szCs w:val="21"/>
              </w:rPr>
            </w:pPr>
            <w:r>
              <w:rPr>
                <w:rFonts w:hint="eastAsia" w:hAnsi="宋体"/>
                <w:bCs/>
                <w:color w:val="auto"/>
                <w:sz w:val="21"/>
                <w:szCs w:val="21"/>
              </w:rPr>
              <w:t>序号</w:t>
            </w:r>
          </w:p>
        </w:tc>
        <w:tc>
          <w:tcPr>
            <w:tcW w:w="5809" w:type="dxa"/>
            <w:shd w:val="clear" w:color="auto" w:fill="F3F3F3"/>
            <w:vAlign w:val="center"/>
          </w:tcPr>
          <w:p>
            <w:pPr>
              <w:kinsoku/>
              <w:overflowPunct/>
              <w:topLinePunct w:val="0"/>
              <w:bidi w:val="0"/>
              <w:jc w:val="center"/>
              <w:outlineLvl w:val="9"/>
              <w:rPr>
                <w:rFonts w:hAnsi="宋体"/>
                <w:bCs/>
                <w:color w:val="auto"/>
                <w:sz w:val="21"/>
                <w:szCs w:val="21"/>
              </w:rPr>
            </w:pPr>
            <w:r>
              <w:rPr>
                <w:rFonts w:hint="eastAsia" w:hAnsi="宋体"/>
                <w:bCs/>
                <w:color w:val="auto"/>
                <w:sz w:val="21"/>
                <w:szCs w:val="21"/>
              </w:rPr>
              <w:t>实质性响应</w:t>
            </w:r>
            <w:r>
              <w:rPr>
                <w:rFonts w:hint="eastAsia" w:hAnsi="宋体"/>
                <w:bCs/>
                <w:color w:val="auto"/>
                <w:sz w:val="21"/>
                <w:szCs w:val="21"/>
                <w:lang w:eastAsia="zh-CN"/>
              </w:rPr>
              <w:t>采购需求</w:t>
            </w:r>
            <w:r>
              <w:rPr>
                <w:rFonts w:hint="eastAsia" w:hAnsi="宋体"/>
                <w:bCs/>
                <w:color w:val="auto"/>
                <w:sz w:val="21"/>
                <w:szCs w:val="21"/>
              </w:rPr>
              <w:t>条款要求</w:t>
            </w:r>
          </w:p>
        </w:tc>
        <w:tc>
          <w:tcPr>
            <w:tcW w:w="816" w:type="dxa"/>
            <w:shd w:val="clear" w:color="auto" w:fill="F3F3F3"/>
            <w:vAlign w:val="center"/>
          </w:tcPr>
          <w:p>
            <w:pPr>
              <w:kinsoku/>
              <w:overflowPunct/>
              <w:topLinePunct w:val="0"/>
              <w:bidi w:val="0"/>
              <w:jc w:val="center"/>
              <w:outlineLvl w:val="9"/>
              <w:rPr>
                <w:rFonts w:hAnsi="宋体"/>
                <w:bCs/>
                <w:color w:val="auto"/>
                <w:sz w:val="21"/>
                <w:szCs w:val="21"/>
              </w:rPr>
            </w:pPr>
            <w:r>
              <w:rPr>
                <w:rFonts w:hint="eastAsia" w:hAnsi="宋体"/>
                <w:bCs/>
                <w:color w:val="auto"/>
                <w:sz w:val="21"/>
                <w:szCs w:val="21"/>
              </w:rPr>
              <w:t>是否响应</w:t>
            </w:r>
          </w:p>
        </w:tc>
        <w:tc>
          <w:tcPr>
            <w:tcW w:w="2171" w:type="dxa"/>
            <w:shd w:val="clear" w:color="auto" w:fill="F3F3F3"/>
            <w:vAlign w:val="center"/>
          </w:tcPr>
          <w:p>
            <w:pPr>
              <w:kinsoku/>
              <w:overflowPunct/>
              <w:topLinePunct w:val="0"/>
              <w:bidi w:val="0"/>
              <w:jc w:val="center"/>
              <w:outlineLvl w:val="9"/>
              <w:rPr>
                <w:rFonts w:hAnsi="宋体"/>
                <w:bCs/>
                <w:color w:val="auto"/>
                <w:sz w:val="21"/>
                <w:szCs w:val="21"/>
              </w:rPr>
            </w:pPr>
            <w:r>
              <w:rPr>
                <w:rFonts w:hint="eastAsia" w:hAnsi="宋体"/>
                <w:bCs/>
                <w:color w:val="auto"/>
                <w:sz w:val="21"/>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color w:val="auto"/>
              </w:rPr>
            </w:pPr>
            <w:r>
              <w:rPr>
                <w:rFonts w:hint="eastAsia" w:hAnsi="宋体" w:cs="宋体"/>
                <w:color w:val="auto"/>
                <w:sz w:val="21"/>
                <w:szCs w:val="21"/>
                <w:lang w:val="en-US" w:eastAsia="zh-CN"/>
              </w:rPr>
              <w:t>一、</w:t>
            </w:r>
            <w:r>
              <w:rPr>
                <w:rFonts w:hint="eastAsia" w:ascii="宋体" w:hAnsi="宋体" w:eastAsia="宋体" w:cs="宋体"/>
                <w:color w:val="auto"/>
                <w:sz w:val="21"/>
                <w:szCs w:val="21"/>
                <w:lang w:val="en-US" w:eastAsia="zh-CN"/>
              </w:rPr>
              <w:t>采购项目内容：采购项目内容；供货期：3年：预算金额：人民币30万元</w:t>
            </w:r>
          </w:p>
        </w:tc>
        <w:tc>
          <w:tcPr>
            <w:tcW w:w="816"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二、供应需求</w:t>
            </w:r>
            <w:r>
              <w:rPr>
                <w:rFonts w:hint="eastAsia" w:hAnsi="宋体" w:cs="宋体"/>
                <w:color w:val="auto"/>
                <w:sz w:val="21"/>
                <w:szCs w:val="21"/>
                <w:lang w:val="en-US" w:eastAsia="zh-CN"/>
              </w:rPr>
              <w:t>1</w:t>
            </w:r>
            <w:r>
              <w:rPr>
                <w:rFonts w:hint="eastAsia" w:ascii="宋体" w:hAnsi="宋体" w:eastAsia="宋体" w:cs="宋体"/>
                <w:color w:val="auto"/>
                <w:sz w:val="21"/>
                <w:szCs w:val="21"/>
                <w:lang w:val="en-US" w:eastAsia="zh-CN"/>
              </w:rPr>
              <w:t>：洗涤范围：全院医护人员工作服、病人被服、手术布类等医用织物的体液、药渍及其他污渍。</w:t>
            </w:r>
          </w:p>
        </w:tc>
        <w:tc>
          <w:tcPr>
            <w:tcW w:w="816"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1"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二、供应需求</w:t>
            </w:r>
            <w:r>
              <w:rPr>
                <w:rFonts w:hint="eastAsia" w:hAnsi="宋体" w:cs="宋体"/>
                <w:color w:val="auto"/>
                <w:sz w:val="21"/>
                <w:szCs w:val="21"/>
                <w:lang w:val="en-US" w:eastAsia="zh-CN"/>
              </w:rPr>
              <w:t>2</w:t>
            </w:r>
            <w:r>
              <w:rPr>
                <w:rFonts w:hint="eastAsia" w:ascii="宋体" w:hAnsi="宋体" w:eastAsia="宋体" w:cs="宋体"/>
                <w:color w:val="auto"/>
                <w:sz w:val="21"/>
                <w:szCs w:val="21"/>
                <w:lang w:val="en-US" w:eastAsia="zh-CN"/>
              </w:rPr>
              <w:t>：采购清单：按照医院使用需求及时供应，下单后保证24小时内送货上门。（平均每月预计需求量：漂白消毒剂40桶，洗衣液25桶，衣领净2瓶；每年需求中和剂4桶，去油剂1桶），具体见谈判文件表格，注：1.合同期内单价不得调整，货物单价包括但不限于货物费用、运输费、人员经费、保险费、各项税费及合同实施过程中不可预见费用等项目相关的一切费用。</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2.如投标每桶规格与采购清单不一致，可以按上述规格报价，送货时按量折算。如：“洗衣液”投标规格为20KG/桶，投标按25KG/桶报价，送货按重量折算。</w:t>
            </w:r>
          </w:p>
        </w:tc>
        <w:tc>
          <w:tcPr>
            <w:tcW w:w="816" w:type="dxa"/>
            <w:vAlign w:val="center"/>
          </w:tcPr>
          <w:p>
            <w:pPr>
              <w:kinsoku/>
              <w:overflowPunct/>
              <w:topLinePunct w:val="0"/>
              <w:bidi w:val="0"/>
              <w:outlineLvl w:val="9"/>
              <w:rPr>
                <w:rFonts w:hint="eastAsia" w:ascii="宋体" w:hAnsi="宋体" w:eastAsia="宋体" w:cs="宋体"/>
                <w:color w:val="auto"/>
                <w:sz w:val="21"/>
                <w:szCs w:val="21"/>
                <w:lang w:val="en-US" w:eastAsia="zh-CN"/>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0"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货物参数：具体见谈判文件表格。说明：1.必须提供所投产品的有效检测合格报告。2.必须提供所投产品完整外观图片（包含正反面）。3.必须提供近三年内（自本项目招标公告发布之日起往前顺推）（以合同签订时间为准（提供发票的以发票日期为准））至投标截止前投标人独立承担所投产品</w:t>
            </w:r>
            <w:r>
              <w:rPr>
                <w:rFonts w:hint="eastAsia" w:ascii="宋体" w:hAnsi="宋体" w:eastAsia="宋体" w:cs="宋体"/>
                <w:color w:val="auto"/>
                <w:sz w:val="21"/>
                <w:szCs w:val="21"/>
                <w:lang w:val="en-GB" w:eastAsia="zh-CN"/>
              </w:rPr>
              <w:t>项目业绩（</w:t>
            </w:r>
            <w:r>
              <w:rPr>
                <w:rFonts w:hint="eastAsia" w:ascii="宋体" w:hAnsi="宋体" w:eastAsia="宋体" w:cs="宋体"/>
                <w:color w:val="auto"/>
                <w:sz w:val="21"/>
                <w:szCs w:val="21"/>
                <w:lang w:val="en-US" w:eastAsia="zh-CN"/>
              </w:rPr>
              <w:t>提供合同或销售发票复印件</w:t>
            </w:r>
            <w:r>
              <w:rPr>
                <w:rFonts w:hint="eastAsia" w:ascii="宋体" w:hAnsi="宋体" w:eastAsia="宋体" w:cs="宋体"/>
                <w:color w:val="auto"/>
                <w:sz w:val="21"/>
                <w:szCs w:val="21"/>
                <w:lang w:val="en-GB" w:eastAsia="zh-CN"/>
              </w:rPr>
              <w:t>）。</w:t>
            </w:r>
            <w:r>
              <w:rPr>
                <w:rFonts w:hint="eastAsia" w:ascii="宋体" w:hAnsi="宋体" w:eastAsia="宋体" w:cs="宋体"/>
                <w:color w:val="auto"/>
                <w:sz w:val="21"/>
                <w:szCs w:val="21"/>
                <w:lang w:val="en-US" w:eastAsia="zh-CN"/>
              </w:rPr>
              <w:t>4.供应商须对采购需求全部内容进行无偏离或正偏离响应，否则为不响应或无效响应。</w:t>
            </w:r>
          </w:p>
        </w:tc>
        <w:tc>
          <w:tcPr>
            <w:tcW w:w="816" w:type="dxa"/>
            <w:vAlign w:val="center"/>
          </w:tcPr>
          <w:p>
            <w:pPr>
              <w:kinsoku/>
              <w:overflowPunct/>
              <w:topLinePunct w:val="0"/>
              <w:bidi w:val="0"/>
              <w:outlineLvl w:val="9"/>
              <w:rPr>
                <w:rFonts w:hint="eastAsia" w:ascii="宋体" w:hAnsi="宋体" w:eastAsia="宋体" w:cs="宋体"/>
                <w:color w:val="auto"/>
                <w:sz w:val="21"/>
                <w:szCs w:val="21"/>
                <w:lang w:val="en-US" w:eastAsia="zh-CN"/>
              </w:rPr>
            </w:pPr>
          </w:p>
        </w:tc>
        <w:tc>
          <w:tcPr>
            <w:tcW w:w="2171" w:type="dxa"/>
            <w:vAlign w:val="center"/>
          </w:tcPr>
          <w:p>
            <w:pPr>
              <w:kinsoku/>
              <w:overflowPunct/>
              <w:topLinePunct w:val="0"/>
              <w:bidi w:val="0"/>
              <w:ind w:right="-35"/>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四、服务需求:1.成交供应商所供产品必须符合中华人民共和国国家标准及行业标准，质量标准必须按国家现行规范执行；</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ind w:right="-35"/>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四、服务需求:2.洗涤效果要达到院感管理制度要求，有消毒功效，防止医源性感染，能够有效去除各种污渍，不留痕迹。不添加荧光增白剂，不含致敏成分，无刺鼻气味；</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ind w:right="-35"/>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四、服务需求:3.成交供应商提供所需消毒洗涤用品的供应、运输、售后和培训等相关服务。提供原装且符合用户质量需求的货物，保证完好、无破损、配置与送货单相符；</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ind w:right="-35"/>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2"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四、服务需求:4.成交供应商免费提供特殊污渍洗涤项目，并保证三个工作日内完成洗涤和收送服务；</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ind w:right="-35"/>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四、服务需求:5.成交供应商每季度一次将医院织物送至有资质的检测机构进行微生物检测，费用由供应商负责；</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四、服务需求:6.成交供应商向采购人提供两台或以上洗涤剂分配器，可匹配采购的洗涤剂使用，并做好安装、维护和售后服务。</w:t>
            </w:r>
          </w:p>
          <w:p>
            <w:pPr>
              <w:kinsoku/>
              <w:overflowPunct/>
              <w:topLinePunct w:val="0"/>
              <w:bidi w:val="0"/>
              <w:outlineLvl w:val="9"/>
              <w:rPr>
                <w:rFonts w:hint="eastAsia"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1"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五、包装标准、包装物的供应与回收:1.货物所需包装由成交供应商负责，适合运输、防潮、防湿、防震、防腐蚀等要求，因包装不当，给采购人或其他第三方造成的损失与责任均为成交供应商承担。</w:t>
            </w:r>
          </w:p>
          <w:p>
            <w:pPr>
              <w:kinsoku/>
              <w:overflowPunct/>
              <w:topLinePunct w:val="0"/>
              <w:bidi w:val="0"/>
              <w:outlineLvl w:val="9"/>
              <w:rPr>
                <w:rFonts w:hint="default"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6"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五、包装标准、包装物的供应与回收:2.成交供应商提供本合同货物的包装物。包装物可由成交供应商收回，成交供应商不得向采购人收取包装物的任何费用，包括租赁费用、押金等。</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8"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六、交货时间、交货地点:1.交货时间：成交供应商接采购人通知后，次日正常上班时间内（上午8：30-下午4：00）完成送货。</w:t>
            </w:r>
          </w:p>
          <w:p>
            <w:pPr>
              <w:kinsoku/>
              <w:overflowPunct/>
              <w:topLinePunct w:val="0"/>
              <w:bidi w:val="0"/>
              <w:outlineLvl w:val="9"/>
              <w:rPr>
                <w:rFonts w:hint="eastAsia"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六、交货时间、交货地点:2.交货地点：佛山市南海区里水镇里官路得胜段28号南方医科大学第七附属医院洗衣房内</w:t>
            </w:r>
          </w:p>
          <w:p>
            <w:pPr>
              <w:kinsoku/>
              <w:overflowPunct/>
              <w:topLinePunct w:val="0"/>
              <w:bidi w:val="0"/>
              <w:outlineLvl w:val="9"/>
              <w:rPr>
                <w:rFonts w:hint="eastAsia"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六、交货时间、交货地点:3.交接方式：双方设置登记本，清楚记录送货数量，回收桶数量，尚欠桶数量等，作为结算统计依据，检测合格报告随货同行。</w:t>
            </w:r>
          </w:p>
          <w:p>
            <w:pPr>
              <w:kinsoku/>
              <w:overflowPunct/>
              <w:topLinePunct w:val="0"/>
              <w:bidi w:val="0"/>
              <w:outlineLvl w:val="9"/>
              <w:rPr>
                <w:rFonts w:hint="eastAsia"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六、交货时间、交货地点:4.货物运送至采购人指定交货地点前或不按本条约定时间运送货物致使采购人未能及时收取货物的，在采购人收取货物前的毁损、灭失风险均由成交供应商承担。 </w:t>
            </w:r>
          </w:p>
          <w:p>
            <w:pPr>
              <w:kinsoku/>
              <w:overflowPunct/>
              <w:topLinePunct w:val="0"/>
              <w:bidi w:val="0"/>
              <w:outlineLvl w:val="9"/>
              <w:rPr>
                <w:rFonts w:hint="eastAsia"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七、验收:1.验收内容包括货物的质量、规格、数量、重量、外包装是否完好等。</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9"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1"/>
                <w:szCs w:val="21"/>
                <w:lang w:val="en-US" w:eastAsia="zh-CN"/>
              </w:rPr>
              <w:t>七、验收:2.采购人在货物使用过程中出现质量问题后立即以电话联系方式通知成交供应商，并在3个工作日内以书面形式向成交供应商提出异议；双方对怀疑质量存在问题的货物样品送有资质检测机构进行检测，检测结果为货物质量问题，检测费用与造成采购人损失的一切费用由中标人承担。</w:t>
            </w:r>
          </w:p>
          <w:p>
            <w:pPr>
              <w:kinsoku/>
              <w:overflowPunct/>
              <w:topLinePunct w:val="0"/>
              <w:bidi w:val="0"/>
              <w:outlineLvl w:val="9"/>
              <w:rPr>
                <w:rFonts w:hAnsi="宋体"/>
                <w:color w:val="auto"/>
                <w:sz w:val="21"/>
                <w:szCs w:val="21"/>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6"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八、结算方式</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1.月度结算：按实际入库合格数量计算。成交供应商在送货次月5号前提供相关资料申请付款，采购人审核无误后【30】天内通过银行转账方式向成交供应商支付。</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2.申请付款资料：</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2.1有效等额发票</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2.2合同（首次）</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2.3送货单</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2.4中标通知书（首次）</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2.5检测合格报告书</w:t>
            </w:r>
          </w:p>
          <w:p>
            <w:pPr>
              <w:kinsoku/>
              <w:overflowPunct/>
              <w:topLinePunct w:val="0"/>
              <w:bidi w:val="0"/>
              <w:outlineLvl w:val="9"/>
              <w:rPr>
                <w:rFonts w:hint="eastAsia"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0"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九、违约责任</w:t>
            </w:r>
          </w:p>
          <w:p>
            <w:pPr>
              <w:kinsoku/>
              <w:overflowPunct/>
              <w:topLinePunct w:val="0"/>
              <w:bidi w:val="0"/>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1.成交供应商未能按照合同约定时间交货到指定地点的，成交供应商向采购人赔偿人民币【5000元】违约金，累计违约3次成交供应商向采购人赔偿人民币【10000元】违约金，采购人有权单方面解除合同。</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成交供应商交付货物质量未达到约定的标准或无法提供出厂质量检测合格报告或经检测机构检测货物存在质量问题的，成交供应商向采购人赔偿人民币【5000元】违约金，累计违约3次成交供应商向采购人赔偿人民币【10000元】违约金，采购人有权单方面解除合同。</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3.采购人无正当理由拒绝付款或未按合同约定时间支付结算款项的，采购人按应付未付结算款项的10%向成交供应商支付违约金。</w:t>
            </w: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exact"/>
        </w:trPr>
        <w:tc>
          <w:tcPr>
            <w:tcW w:w="709" w:type="dxa"/>
            <w:vAlign w:val="center"/>
          </w:tcPr>
          <w:p>
            <w:pPr>
              <w:numPr>
                <w:ilvl w:val="1"/>
                <w:numId w:val="4"/>
              </w:numPr>
              <w:kinsoku/>
              <w:overflowPunct/>
              <w:topLinePunct w:val="0"/>
              <w:bidi w:val="0"/>
              <w:adjustRightInd/>
              <w:jc w:val="center"/>
              <w:outlineLvl w:val="9"/>
              <w:rPr>
                <w:rFonts w:hAnsi="宋体"/>
                <w:color w:val="auto"/>
                <w:sz w:val="21"/>
                <w:szCs w:val="21"/>
              </w:rPr>
            </w:pPr>
          </w:p>
        </w:tc>
        <w:tc>
          <w:tcPr>
            <w:tcW w:w="5809" w:type="dxa"/>
            <w:vAlign w:val="center"/>
          </w:tcPr>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十、安全与环境保护</w:t>
            </w:r>
          </w:p>
          <w:p>
            <w:pPr>
              <w:kinsoku/>
              <w:overflowPunct/>
              <w:topLinePunct w:val="0"/>
              <w:bidi w:val="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甲乙双方须确保在购销、运输、存储、加工、使用等过程中，遵守质量、安全、环境与健康等法律法规的有关要求，并承担质量、安全、环境与健康责任。成交供应商销售、运输等过程中，应满足化学品运输管理规定。</w:t>
            </w:r>
          </w:p>
          <w:p>
            <w:pPr>
              <w:rPr>
                <w:rFonts w:hint="eastAsia"/>
                <w:color w:val="auto"/>
                <w:lang w:val="en-US" w:eastAsia="zh-CN"/>
              </w:rPr>
            </w:pPr>
          </w:p>
          <w:p>
            <w:pPr>
              <w:kinsoku/>
              <w:overflowPunct/>
              <w:topLinePunct w:val="0"/>
              <w:bidi w:val="0"/>
              <w:outlineLvl w:val="9"/>
              <w:rPr>
                <w:rFonts w:hint="eastAsia" w:ascii="宋体" w:hAnsi="宋体" w:eastAsia="宋体" w:cs="宋体"/>
                <w:color w:val="auto"/>
                <w:sz w:val="21"/>
                <w:szCs w:val="21"/>
                <w:lang w:val="en-US" w:eastAsia="zh-CN"/>
              </w:rPr>
            </w:pPr>
          </w:p>
        </w:tc>
        <w:tc>
          <w:tcPr>
            <w:tcW w:w="816" w:type="dxa"/>
            <w:vAlign w:val="center"/>
          </w:tcPr>
          <w:p>
            <w:pPr>
              <w:kinsoku/>
              <w:overflowPunct/>
              <w:topLinePunct w:val="0"/>
              <w:bidi w:val="0"/>
              <w:jc w:val="center"/>
              <w:outlineLvl w:val="9"/>
              <w:rPr>
                <w:rFonts w:hAnsi="宋体"/>
                <w:color w:val="auto"/>
                <w:sz w:val="21"/>
                <w:szCs w:val="21"/>
              </w:rPr>
            </w:pPr>
          </w:p>
        </w:tc>
        <w:tc>
          <w:tcPr>
            <w:tcW w:w="2171" w:type="dxa"/>
            <w:vAlign w:val="center"/>
          </w:tcPr>
          <w:p>
            <w:pPr>
              <w:pStyle w:val="51"/>
              <w:kinsoku/>
              <w:overflowPunct/>
              <w:topLinePunct w:val="0"/>
              <w:bidi w:val="0"/>
              <w:adjustRightInd/>
              <w:spacing w:before="0" w:after="0" w:line="240" w:lineRule="auto"/>
              <w:textAlignment w:val="auto"/>
              <w:outlineLvl w:val="9"/>
              <w:rPr>
                <w:rFonts w:ascii="宋体" w:hAnsi="宋体"/>
                <w:color w:val="auto"/>
                <w:spacing w:val="0"/>
                <w:kern w:val="2"/>
                <w:sz w:val="21"/>
                <w:szCs w:val="21"/>
              </w:rPr>
            </w:pPr>
          </w:p>
        </w:tc>
      </w:tr>
    </w:tbl>
    <w:p>
      <w:pPr>
        <w:kinsoku/>
        <w:overflowPunct/>
        <w:topLinePunct w:val="0"/>
        <w:bidi w:val="0"/>
        <w:ind w:left="780" w:leftChars="150" w:hanging="420" w:hangingChars="200"/>
        <w:outlineLvl w:val="9"/>
        <w:rPr>
          <w:rFonts w:hAnsi="宋体"/>
          <w:color w:val="auto"/>
          <w:sz w:val="21"/>
          <w:szCs w:val="21"/>
        </w:rPr>
      </w:pPr>
    </w:p>
    <w:p>
      <w:pPr>
        <w:kinsoku/>
        <w:overflowPunct/>
        <w:topLinePunct w:val="0"/>
        <w:bidi w:val="0"/>
        <w:spacing w:line="360" w:lineRule="auto"/>
        <w:outlineLvl w:val="9"/>
        <w:rPr>
          <w:rFonts w:hAnsi="宋体"/>
          <w:color w:val="auto"/>
          <w:sz w:val="21"/>
          <w:szCs w:val="21"/>
        </w:rPr>
      </w:pPr>
      <w:r>
        <w:rPr>
          <w:rFonts w:hint="eastAsia" w:hAnsi="宋体"/>
          <w:color w:val="auto"/>
          <w:sz w:val="21"/>
          <w:szCs w:val="21"/>
        </w:rPr>
        <w:t>注：1.对于上述要求，如</w:t>
      </w:r>
      <w:r>
        <w:rPr>
          <w:rFonts w:hint="eastAsia" w:hAnsi="宋体"/>
          <w:color w:val="auto"/>
          <w:sz w:val="21"/>
          <w:szCs w:val="21"/>
          <w:lang w:eastAsia="zh-CN"/>
        </w:rPr>
        <w:t>响应供应商</w:t>
      </w:r>
      <w:r>
        <w:rPr>
          <w:rFonts w:hint="eastAsia" w:hAnsi="宋体"/>
          <w:color w:val="auto"/>
          <w:sz w:val="21"/>
          <w:szCs w:val="21"/>
        </w:rPr>
        <w:t>完全响应，则请在“是否响应”栏内打“√”，对空白或打“×”视为偏离，请在“偏离说明”栏内扼要说明偏离情况。</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2.此表内容必须与招标文件用户需求书中所介绍的内容一致，</w:t>
      </w:r>
      <w:r>
        <w:rPr>
          <w:rFonts w:hint="eastAsia" w:hAnsi="宋体"/>
          <w:color w:val="auto"/>
          <w:sz w:val="21"/>
          <w:szCs w:val="21"/>
          <w:lang w:val="en-US" w:eastAsia="zh-CN"/>
        </w:rPr>
        <w:t>必须全部有效响应用户需求书内容，否则视为不响应</w:t>
      </w:r>
      <w:r>
        <w:rPr>
          <w:rFonts w:hint="eastAsia" w:hAnsi="宋体"/>
          <w:color w:val="auto"/>
          <w:sz w:val="21"/>
          <w:szCs w:val="21"/>
        </w:rPr>
        <w:t>。</w:t>
      </w:r>
    </w:p>
    <w:p>
      <w:pPr>
        <w:kinsoku/>
        <w:overflowPunct/>
        <w:topLinePunct w:val="0"/>
        <w:bidi w:val="0"/>
        <w:spacing w:line="360" w:lineRule="auto"/>
        <w:ind w:firstLine="420" w:firstLineChars="200"/>
        <w:outlineLvl w:val="9"/>
        <w:rPr>
          <w:rFonts w:hAnsi="宋体"/>
          <w:color w:val="auto"/>
          <w:sz w:val="21"/>
          <w:szCs w:val="21"/>
        </w:rPr>
      </w:pPr>
      <w:r>
        <w:rPr>
          <w:rFonts w:hint="eastAsia" w:hAnsi="宋体"/>
          <w:color w:val="auto"/>
          <w:sz w:val="21"/>
          <w:szCs w:val="21"/>
        </w:rPr>
        <w:t>3.本表内容不得擅自修改。</w:t>
      </w:r>
    </w:p>
    <w:p>
      <w:pPr>
        <w:kinsoku/>
        <w:overflowPunct/>
        <w:topLinePunct w:val="0"/>
        <w:bidi w:val="0"/>
        <w:snapToGrid w:val="0"/>
        <w:spacing w:line="360" w:lineRule="auto"/>
        <w:outlineLvl w:val="9"/>
        <w:rPr>
          <w:rFonts w:hAnsi="宋体"/>
          <w:color w:val="auto"/>
          <w:sz w:val="21"/>
          <w:szCs w:val="21"/>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pacing w:line="360" w:lineRule="auto"/>
        <w:outlineLvl w:val="9"/>
        <w:rPr>
          <w:rFonts w:hAnsi="宋体"/>
          <w:color w:val="auto"/>
          <w:kern w:val="2"/>
          <w:sz w:val="21"/>
          <w:szCs w:val="21"/>
        </w:rPr>
      </w:pPr>
    </w:p>
    <w:p>
      <w:pPr>
        <w:pStyle w:val="57"/>
        <w:kinsoku/>
        <w:overflowPunct/>
        <w:topLinePunct w:val="0"/>
        <w:bidi w:val="0"/>
        <w:spacing w:line="440" w:lineRule="exact"/>
        <w:outlineLvl w:val="9"/>
        <w:rPr>
          <w:rFonts w:hAnsi="宋体"/>
          <w:b/>
          <w:color w:val="auto"/>
          <w:sz w:val="21"/>
        </w:rPr>
      </w:pPr>
      <w:r>
        <w:rPr>
          <w:color w:val="auto"/>
          <w:szCs w:val="21"/>
        </w:rPr>
        <w:br w:type="page"/>
      </w:r>
      <w:r>
        <w:rPr>
          <w:rFonts w:hint="eastAsia" w:hAnsi="宋体"/>
          <w:b/>
          <w:color w:val="auto"/>
          <w:sz w:val="21"/>
        </w:rPr>
        <w:t>附表2.9 一般</w:t>
      </w:r>
      <w:r>
        <w:rPr>
          <w:rFonts w:hAnsi="宋体"/>
          <w:b/>
          <w:color w:val="auto"/>
          <w:sz w:val="21"/>
        </w:rPr>
        <w:fldChar w:fldCharType="begin"/>
      </w:r>
      <w:r>
        <w:rPr>
          <w:color w:val="auto"/>
        </w:rPr>
        <w:instrText xml:space="preserve"> DOCVARIABLE  商务条款响应表开始  \* MERGEFORMAT </w:instrText>
      </w:r>
      <w:r>
        <w:rPr>
          <w:color w:val="auto"/>
        </w:rPr>
        <w:fldChar w:fldCharType="end"/>
      </w:r>
      <w:r>
        <w:rPr>
          <w:color w:val="auto"/>
        </w:rPr>
        <w:fldChar w:fldCharType="begin"/>
      </w:r>
      <w:r>
        <w:rPr>
          <w:color w:val="auto"/>
        </w:rPr>
        <w:instrText xml:space="preserve"> DOCVARIABLE  商务条款响应表开始  \* MERGEFORMAT </w:instrText>
      </w:r>
      <w:r>
        <w:rPr>
          <w:color w:val="auto"/>
        </w:rPr>
        <w:fldChar w:fldCharType="end"/>
      </w:r>
      <w:r>
        <w:rPr>
          <w:rFonts w:hint="eastAsia" w:hAnsi="宋体"/>
          <w:b/>
          <w:color w:val="auto"/>
          <w:sz w:val="21"/>
        </w:rPr>
        <w:t>商务条款响应表</w:t>
      </w:r>
    </w:p>
    <w:p>
      <w:pPr>
        <w:pStyle w:val="57"/>
        <w:kinsoku/>
        <w:overflowPunct/>
        <w:topLinePunct w:val="0"/>
        <w:bidi w:val="0"/>
        <w:outlineLvl w:val="9"/>
        <w:rPr>
          <w:rFonts w:hAnsi="宋体"/>
          <w:b/>
          <w:color w:val="auto"/>
          <w:sz w:val="21"/>
        </w:rPr>
      </w:pPr>
    </w:p>
    <w:tbl>
      <w:tblPr>
        <w:tblStyle w:val="21"/>
        <w:tblW w:w="102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6444"/>
        <w:gridCol w:w="838"/>
        <w:gridCol w:w="2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jc w:val="center"/>
        </w:trPr>
        <w:tc>
          <w:tcPr>
            <w:tcW w:w="756" w:type="dxa"/>
            <w:shd w:val="clear" w:color="auto" w:fill="F3F3F3"/>
            <w:vAlign w:val="center"/>
          </w:tcPr>
          <w:p>
            <w:pPr>
              <w:kinsoku/>
              <w:overflowPunct/>
              <w:topLinePunct w:val="0"/>
              <w:bidi w:val="0"/>
              <w:jc w:val="center"/>
              <w:outlineLvl w:val="9"/>
              <w:rPr>
                <w:rFonts w:hAnsi="宋体"/>
                <w:b/>
                <w:bCs/>
                <w:color w:val="auto"/>
                <w:sz w:val="21"/>
                <w:szCs w:val="21"/>
              </w:rPr>
            </w:pPr>
            <w:r>
              <w:rPr>
                <w:rFonts w:hint="eastAsia" w:hAnsi="宋体"/>
                <w:b/>
                <w:bCs/>
                <w:color w:val="auto"/>
                <w:sz w:val="21"/>
                <w:szCs w:val="21"/>
              </w:rPr>
              <w:t>序号</w:t>
            </w:r>
          </w:p>
        </w:tc>
        <w:tc>
          <w:tcPr>
            <w:tcW w:w="6444" w:type="dxa"/>
            <w:shd w:val="clear" w:color="auto" w:fill="F3F3F3"/>
            <w:vAlign w:val="center"/>
          </w:tcPr>
          <w:p>
            <w:pPr>
              <w:kinsoku/>
              <w:overflowPunct/>
              <w:topLinePunct w:val="0"/>
              <w:bidi w:val="0"/>
              <w:jc w:val="center"/>
              <w:outlineLvl w:val="9"/>
              <w:rPr>
                <w:rFonts w:hAnsi="宋体"/>
                <w:b/>
                <w:bCs/>
                <w:color w:val="auto"/>
                <w:sz w:val="21"/>
                <w:szCs w:val="21"/>
              </w:rPr>
            </w:pPr>
            <w:r>
              <w:rPr>
                <w:rFonts w:hint="eastAsia" w:hAnsi="宋体"/>
                <w:b/>
                <w:bCs/>
                <w:color w:val="auto"/>
                <w:sz w:val="21"/>
                <w:szCs w:val="21"/>
              </w:rPr>
              <w:t>一般商务条款要求</w:t>
            </w:r>
          </w:p>
        </w:tc>
        <w:tc>
          <w:tcPr>
            <w:tcW w:w="838" w:type="dxa"/>
            <w:shd w:val="clear" w:color="auto" w:fill="F3F3F3"/>
            <w:vAlign w:val="center"/>
          </w:tcPr>
          <w:p>
            <w:pPr>
              <w:kinsoku/>
              <w:overflowPunct/>
              <w:topLinePunct w:val="0"/>
              <w:bidi w:val="0"/>
              <w:jc w:val="center"/>
              <w:outlineLvl w:val="9"/>
              <w:rPr>
                <w:rFonts w:hAnsi="宋体"/>
                <w:b/>
                <w:bCs/>
                <w:color w:val="auto"/>
                <w:sz w:val="21"/>
                <w:szCs w:val="21"/>
              </w:rPr>
            </w:pPr>
            <w:r>
              <w:rPr>
                <w:rFonts w:hint="eastAsia" w:hAnsi="宋体"/>
                <w:b/>
                <w:bCs/>
                <w:color w:val="auto"/>
                <w:sz w:val="21"/>
                <w:szCs w:val="21"/>
              </w:rPr>
              <w:t>是否响应</w:t>
            </w:r>
          </w:p>
        </w:tc>
        <w:tc>
          <w:tcPr>
            <w:tcW w:w="2230" w:type="dxa"/>
            <w:shd w:val="clear" w:color="auto" w:fill="F3F3F3"/>
            <w:vAlign w:val="center"/>
          </w:tcPr>
          <w:p>
            <w:pPr>
              <w:kinsoku/>
              <w:overflowPunct/>
              <w:topLinePunct w:val="0"/>
              <w:bidi w:val="0"/>
              <w:jc w:val="center"/>
              <w:outlineLvl w:val="9"/>
              <w:rPr>
                <w:rFonts w:hAnsi="宋体"/>
                <w:b/>
                <w:bCs/>
                <w:color w:val="auto"/>
                <w:sz w:val="21"/>
                <w:szCs w:val="21"/>
              </w:rPr>
            </w:pPr>
            <w:r>
              <w:rPr>
                <w:rFonts w:hint="eastAsia" w:hAnsi="宋体"/>
                <w:b/>
                <w:bCs/>
                <w:color w:val="auto"/>
                <w:sz w:val="21"/>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kinsoku/>
              <w:overflowPunct/>
              <w:topLinePunct w:val="0"/>
              <w:bidi w:val="0"/>
              <w:outlineLvl w:val="9"/>
              <w:rPr>
                <w:rFonts w:hAnsi="宋体"/>
                <w:b/>
                <w:color w:val="auto"/>
                <w:sz w:val="21"/>
                <w:szCs w:val="21"/>
              </w:rPr>
            </w:pPr>
            <w:r>
              <w:rPr>
                <w:rFonts w:hint="eastAsia" w:hAnsi="宋体"/>
                <w:bCs/>
                <w:color w:val="auto"/>
                <w:sz w:val="21"/>
                <w:szCs w:val="21"/>
              </w:rPr>
              <w:t>完全理解并接受合同条款要求</w:t>
            </w:r>
          </w:p>
        </w:tc>
        <w:tc>
          <w:tcPr>
            <w:tcW w:w="838" w:type="dxa"/>
            <w:vAlign w:val="center"/>
          </w:tcPr>
          <w:p>
            <w:pPr>
              <w:pStyle w:val="49"/>
              <w:kinsoku/>
              <w:overflowPunct/>
              <w:topLinePunct w:val="0"/>
              <w:bidi w:val="0"/>
              <w:outlineLvl w:val="9"/>
              <w:rPr>
                <w:rFonts w:ascii="宋体" w:hAnsi="宋体"/>
                <w:color w:val="auto"/>
                <w:sz w:val="21"/>
              </w:rPr>
            </w:pPr>
          </w:p>
        </w:tc>
        <w:tc>
          <w:tcPr>
            <w:tcW w:w="2230"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kinsoku/>
              <w:overflowPunct/>
              <w:topLinePunct w:val="0"/>
              <w:bidi w:val="0"/>
              <w:outlineLvl w:val="9"/>
              <w:rPr>
                <w:rFonts w:hAnsi="宋体"/>
                <w:color w:val="auto"/>
                <w:sz w:val="21"/>
                <w:szCs w:val="21"/>
              </w:rPr>
            </w:pPr>
            <w:r>
              <w:rPr>
                <w:rFonts w:hint="eastAsia" w:hAnsi="宋体"/>
                <w:color w:val="auto"/>
                <w:sz w:val="21"/>
                <w:szCs w:val="21"/>
              </w:rPr>
              <w:t>完全理解并接受对合格</w:t>
            </w:r>
            <w:r>
              <w:rPr>
                <w:rFonts w:hint="eastAsia" w:hAnsi="宋体"/>
                <w:color w:val="auto"/>
                <w:sz w:val="21"/>
                <w:szCs w:val="21"/>
                <w:lang w:eastAsia="zh-CN"/>
              </w:rPr>
              <w:t>响应供应商</w:t>
            </w:r>
            <w:r>
              <w:rPr>
                <w:rFonts w:hint="eastAsia" w:hAnsi="宋体"/>
                <w:color w:val="auto"/>
                <w:sz w:val="21"/>
                <w:szCs w:val="21"/>
              </w:rPr>
              <w:t>、合格的货物、工期和服务要求</w:t>
            </w:r>
          </w:p>
        </w:tc>
        <w:tc>
          <w:tcPr>
            <w:tcW w:w="838" w:type="dxa"/>
            <w:vAlign w:val="center"/>
          </w:tcPr>
          <w:p>
            <w:pPr>
              <w:pStyle w:val="49"/>
              <w:kinsoku/>
              <w:overflowPunct/>
              <w:topLinePunct w:val="0"/>
              <w:bidi w:val="0"/>
              <w:outlineLvl w:val="9"/>
              <w:rPr>
                <w:rFonts w:ascii="宋体" w:hAnsi="宋体"/>
                <w:color w:val="auto"/>
                <w:sz w:val="21"/>
              </w:rPr>
            </w:pPr>
          </w:p>
        </w:tc>
        <w:tc>
          <w:tcPr>
            <w:tcW w:w="2230"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kinsoku/>
              <w:overflowPunct/>
              <w:topLinePunct w:val="0"/>
              <w:bidi w:val="0"/>
              <w:outlineLvl w:val="9"/>
              <w:rPr>
                <w:rFonts w:hAnsi="宋体"/>
                <w:color w:val="auto"/>
                <w:sz w:val="21"/>
                <w:szCs w:val="21"/>
              </w:rPr>
            </w:pPr>
            <w:r>
              <w:rPr>
                <w:rFonts w:hint="eastAsia" w:hAnsi="宋体"/>
                <w:color w:val="auto"/>
                <w:sz w:val="21"/>
                <w:szCs w:val="21"/>
              </w:rPr>
              <w:t>完全理解并接受对</w:t>
            </w:r>
            <w:r>
              <w:rPr>
                <w:rFonts w:hint="eastAsia" w:hAnsi="宋体"/>
                <w:color w:val="auto"/>
                <w:sz w:val="21"/>
                <w:szCs w:val="21"/>
                <w:lang w:eastAsia="zh-CN"/>
              </w:rPr>
              <w:t>响应供应商</w:t>
            </w:r>
            <w:r>
              <w:rPr>
                <w:rFonts w:hint="eastAsia" w:hAnsi="宋体"/>
                <w:color w:val="auto"/>
                <w:sz w:val="21"/>
                <w:szCs w:val="21"/>
              </w:rPr>
              <w:t>的各项须知、规约要求和责任义务</w:t>
            </w:r>
          </w:p>
        </w:tc>
        <w:tc>
          <w:tcPr>
            <w:tcW w:w="838" w:type="dxa"/>
            <w:vAlign w:val="center"/>
          </w:tcPr>
          <w:p>
            <w:pPr>
              <w:kinsoku/>
              <w:overflowPunct/>
              <w:topLinePunct w:val="0"/>
              <w:bidi w:val="0"/>
              <w:jc w:val="center"/>
              <w:outlineLvl w:val="9"/>
              <w:rPr>
                <w:rFonts w:hAnsi="宋体"/>
                <w:color w:val="auto"/>
                <w:sz w:val="21"/>
                <w:szCs w:val="21"/>
              </w:rPr>
            </w:pPr>
          </w:p>
        </w:tc>
        <w:tc>
          <w:tcPr>
            <w:tcW w:w="2230" w:type="dxa"/>
            <w:vAlign w:val="center"/>
          </w:tcPr>
          <w:p>
            <w:pPr>
              <w:kinsoku/>
              <w:overflowPunct/>
              <w:topLinePunct w:val="0"/>
              <w:bidi w:val="0"/>
              <w:ind w:right="-35"/>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kinsoku/>
              <w:overflowPunct/>
              <w:topLinePunct w:val="0"/>
              <w:bidi w:val="0"/>
              <w:outlineLvl w:val="9"/>
              <w:rPr>
                <w:rFonts w:hAnsi="宋体"/>
                <w:color w:val="auto"/>
                <w:sz w:val="21"/>
                <w:szCs w:val="21"/>
              </w:rPr>
            </w:pPr>
            <w:r>
              <w:rPr>
                <w:rFonts w:hint="eastAsia" w:hAnsi="宋体"/>
                <w:color w:val="auto"/>
                <w:sz w:val="21"/>
                <w:szCs w:val="21"/>
                <w:lang w:eastAsia="zh-CN"/>
              </w:rPr>
              <w:t>响应有效期</w:t>
            </w:r>
            <w:r>
              <w:rPr>
                <w:rFonts w:hint="eastAsia" w:hAnsi="宋体"/>
                <w:color w:val="auto"/>
                <w:sz w:val="21"/>
                <w:szCs w:val="21"/>
              </w:rPr>
              <w:t>：</w:t>
            </w:r>
            <w:r>
              <w:rPr>
                <w:rFonts w:hint="eastAsia" w:hAnsi="宋体"/>
                <w:color w:val="auto"/>
                <w:sz w:val="21"/>
                <w:szCs w:val="21"/>
                <w:lang w:eastAsia="zh-CN"/>
              </w:rPr>
              <w:t>响应有效期</w:t>
            </w:r>
            <w:r>
              <w:rPr>
                <w:rFonts w:hint="eastAsia" w:hAnsi="宋体"/>
                <w:color w:val="auto"/>
                <w:sz w:val="21"/>
                <w:szCs w:val="21"/>
              </w:rPr>
              <w:t>为自递交</w:t>
            </w:r>
            <w:r>
              <w:rPr>
                <w:rFonts w:hint="eastAsia" w:hAnsi="宋体"/>
                <w:color w:val="auto"/>
                <w:sz w:val="21"/>
                <w:szCs w:val="21"/>
                <w:lang w:eastAsia="zh-CN"/>
              </w:rPr>
              <w:t>响应文件</w:t>
            </w:r>
            <w:r>
              <w:rPr>
                <w:rFonts w:hint="eastAsia" w:hAnsi="宋体"/>
                <w:color w:val="auto"/>
                <w:sz w:val="21"/>
                <w:szCs w:val="21"/>
              </w:rPr>
              <w:t>起至确定正式成交止不少于</w:t>
            </w:r>
            <w:r>
              <w:rPr>
                <w:rFonts w:hint="eastAsia" w:hAnsi="宋体"/>
                <w:color w:val="auto"/>
                <w:sz w:val="21"/>
                <w:szCs w:val="21"/>
                <w:u w:val="single"/>
              </w:rPr>
              <w:t>90</w:t>
            </w:r>
            <w:r>
              <w:rPr>
                <w:rFonts w:hint="eastAsia" w:hAnsi="宋体"/>
                <w:color w:val="auto"/>
                <w:sz w:val="21"/>
                <w:szCs w:val="21"/>
              </w:rPr>
              <w:t>天，成交单位有效期至项目验收之日</w:t>
            </w:r>
          </w:p>
        </w:tc>
        <w:tc>
          <w:tcPr>
            <w:tcW w:w="838" w:type="dxa"/>
            <w:vAlign w:val="center"/>
          </w:tcPr>
          <w:p>
            <w:pPr>
              <w:kinsoku/>
              <w:overflowPunct/>
              <w:topLinePunct w:val="0"/>
              <w:bidi w:val="0"/>
              <w:jc w:val="center"/>
              <w:outlineLvl w:val="9"/>
              <w:rPr>
                <w:rFonts w:hAnsi="宋体"/>
                <w:color w:val="auto"/>
                <w:sz w:val="21"/>
                <w:szCs w:val="21"/>
              </w:rPr>
            </w:pPr>
          </w:p>
        </w:tc>
        <w:tc>
          <w:tcPr>
            <w:tcW w:w="2230" w:type="dxa"/>
            <w:vAlign w:val="center"/>
          </w:tcPr>
          <w:p>
            <w:pPr>
              <w:kinsoku/>
              <w:overflowPunct/>
              <w:topLinePunct w:val="0"/>
              <w:bidi w:val="0"/>
              <w:ind w:right="-35"/>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kinsoku/>
              <w:overflowPunct/>
              <w:topLinePunct w:val="0"/>
              <w:bidi w:val="0"/>
              <w:outlineLvl w:val="9"/>
              <w:rPr>
                <w:rFonts w:hAnsi="宋体"/>
                <w:color w:val="auto"/>
                <w:sz w:val="21"/>
                <w:szCs w:val="21"/>
              </w:rPr>
            </w:pPr>
            <w:r>
              <w:rPr>
                <w:rFonts w:hint="eastAsia" w:hAnsi="宋体"/>
                <w:color w:val="auto"/>
                <w:sz w:val="21"/>
                <w:szCs w:val="21"/>
              </w:rPr>
              <w:t>报价内容均涵盖报价要求之一切费用和伴随货物</w:t>
            </w:r>
          </w:p>
        </w:tc>
        <w:tc>
          <w:tcPr>
            <w:tcW w:w="838" w:type="dxa"/>
            <w:vAlign w:val="center"/>
          </w:tcPr>
          <w:p>
            <w:pPr>
              <w:kinsoku/>
              <w:overflowPunct/>
              <w:topLinePunct w:val="0"/>
              <w:bidi w:val="0"/>
              <w:jc w:val="center"/>
              <w:outlineLvl w:val="9"/>
              <w:rPr>
                <w:rFonts w:hAnsi="宋体"/>
                <w:color w:val="auto"/>
                <w:sz w:val="21"/>
                <w:szCs w:val="21"/>
              </w:rPr>
            </w:pPr>
          </w:p>
        </w:tc>
        <w:tc>
          <w:tcPr>
            <w:tcW w:w="2230" w:type="dxa"/>
            <w:vAlign w:val="center"/>
          </w:tcPr>
          <w:p>
            <w:pPr>
              <w:pStyle w:val="49"/>
              <w:kinsoku/>
              <w:overflowPunct/>
              <w:topLinePunct w:val="0"/>
              <w:bidi w:val="0"/>
              <w:outlineLvl w:val="9"/>
              <w:rPr>
                <w:rFonts w:ascii="宋体" w:hAnsi="宋体"/>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kinsoku/>
              <w:overflowPunct/>
              <w:topLinePunct w:val="0"/>
              <w:bidi w:val="0"/>
              <w:outlineLvl w:val="9"/>
              <w:rPr>
                <w:rFonts w:hAnsi="宋体"/>
                <w:color w:val="auto"/>
                <w:sz w:val="21"/>
                <w:szCs w:val="21"/>
              </w:rPr>
            </w:pPr>
            <w:r>
              <w:rPr>
                <w:rFonts w:hint="eastAsia" w:hAnsi="宋体"/>
                <w:color w:val="auto"/>
                <w:sz w:val="21"/>
                <w:szCs w:val="21"/>
              </w:rPr>
              <w:t>同意接受合同范本所列述的各项条款</w:t>
            </w:r>
          </w:p>
        </w:tc>
        <w:tc>
          <w:tcPr>
            <w:tcW w:w="838" w:type="dxa"/>
            <w:vAlign w:val="center"/>
          </w:tcPr>
          <w:p>
            <w:pPr>
              <w:kinsoku/>
              <w:overflowPunct/>
              <w:topLinePunct w:val="0"/>
              <w:bidi w:val="0"/>
              <w:jc w:val="center"/>
              <w:outlineLvl w:val="9"/>
              <w:rPr>
                <w:rFonts w:hAnsi="宋体"/>
                <w:color w:val="auto"/>
                <w:sz w:val="21"/>
                <w:szCs w:val="21"/>
              </w:rPr>
            </w:pPr>
          </w:p>
        </w:tc>
        <w:tc>
          <w:tcPr>
            <w:tcW w:w="2230"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kinsoku/>
              <w:overflowPunct/>
              <w:topLinePunct w:val="0"/>
              <w:bidi w:val="0"/>
              <w:outlineLvl w:val="9"/>
              <w:rPr>
                <w:rFonts w:hAnsi="宋体"/>
                <w:color w:val="auto"/>
                <w:sz w:val="21"/>
                <w:szCs w:val="21"/>
              </w:rPr>
            </w:pPr>
            <w:r>
              <w:rPr>
                <w:rFonts w:hint="eastAsia" w:hAnsi="宋体"/>
                <w:color w:val="auto"/>
                <w:sz w:val="21"/>
                <w:szCs w:val="21"/>
              </w:rPr>
              <w:t>同意按本项目要求缴付相关款项</w:t>
            </w:r>
          </w:p>
        </w:tc>
        <w:tc>
          <w:tcPr>
            <w:tcW w:w="838" w:type="dxa"/>
            <w:vAlign w:val="center"/>
          </w:tcPr>
          <w:p>
            <w:pPr>
              <w:kinsoku/>
              <w:overflowPunct/>
              <w:topLinePunct w:val="0"/>
              <w:bidi w:val="0"/>
              <w:jc w:val="center"/>
              <w:outlineLvl w:val="9"/>
              <w:rPr>
                <w:rFonts w:hAnsi="宋体"/>
                <w:color w:val="auto"/>
                <w:sz w:val="21"/>
                <w:szCs w:val="21"/>
              </w:rPr>
            </w:pPr>
          </w:p>
        </w:tc>
        <w:tc>
          <w:tcPr>
            <w:tcW w:w="2230"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6444" w:type="dxa"/>
            <w:vAlign w:val="center"/>
          </w:tcPr>
          <w:p>
            <w:pPr>
              <w:pStyle w:val="41"/>
              <w:kinsoku/>
              <w:overflowPunct/>
              <w:topLinePunct w:val="0"/>
              <w:bidi w:val="0"/>
              <w:outlineLvl w:val="9"/>
              <w:rPr>
                <w:rFonts w:ascii="宋体" w:hAnsi="宋体"/>
                <w:color w:val="auto"/>
                <w:szCs w:val="21"/>
              </w:rPr>
            </w:pPr>
            <w:r>
              <w:rPr>
                <w:rFonts w:hint="eastAsia" w:ascii="宋体" w:hAnsi="宋体"/>
                <w:color w:val="auto"/>
                <w:szCs w:val="21"/>
              </w:rPr>
              <w:t>同意采购方以任何形式对我方报价/响应文件内容的真实性和有效性进行审查、验证</w:t>
            </w:r>
          </w:p>
        </w:tc>
        <w:tc>
          <w:tcPr>
            <w:tcW w:w="838" w:type="dxa"/>
            <w:vAlign w:val="center"/>
          </w:tcPr>
          <w:p>
            <w:pPr>
              <w:kinsoku/>
              <w:overflowPunct/>
              <w:topLinePunct w:val="0"/>
              <w:bidi w:val="0"/>
              <w:jc w:val="center"/>
              <w:outlineLvl w:val="9"/>
              <w:rPr>
                <w:rFonts w:hAnsi="宋体"/>
                <w:color w:val="auto"/>
                <w:sz w:val="21"/>
                <w:szCs w:val="21"/>
              </w:rPr>
            </w:pPr>
          </w:p>
        </w:tc>
        <w:tc>
          <w:tcPr>
            <w:tcW w:w="2230" w:type="dxa"/>
            <w:vAlign w:val="center"/>
          </w:tcPr>
          <w:p>
            <w:pPr>
              <w:kinsoku/>
              <w:overflowPunct/>
              <w:topLinePunct w:val="0"/>
              <w:bidi w:val="0"/>
              <w:jc w:val="center"/>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756" w:type="dxa"/>
            <w:vAlign w:val="center"/>
          </w:tcPr>
          <w:p>
            <w:pPr>
              <w:numPr>
                <w:ilvl w:val="0"/>
                <w:numId w:val="5"/>
              </w:numPr>
              <w:kinsoku/>
              <w:overflowPunct/>
              <w:topLinePunct w:val="0"/>
              <w:bidi w:val="0"/>
              <w:outlineLvl w:val="9"/>
              <w:rPr>
                <w:rFonts w:hAnsi="宋体"/>
                <w:color w:val="auto"/>
                <w:sz w:val="21"/>
                <w:szCs w:val="21"/>
              </w:rPr>
            </w:pPr>
          </w:p>
        </w:tc>
        <w:tc>
          <w:tcPr>
            <w:tcW w:w="9512" w:type="dxa"/>
            <w:gridSpan w:val="3"/>
            <w:vAlign w:val="center"/>
          </w:tcPr>
          <w:p>
            <w:pPr>
              <w:kinsoku/>
              <w:overflowPunct/>
              <w:topLinePunct w:val="0"/>
              <w:bidi w:val="0"/>
              <w:outlineLvl w:val="9"/>
              <w:rPr>
                <w:rFonts w:hAnsi="宋体"/>
                <w:color w:val="auto"/>
                <w:sz w:val="21"/>
                <w:szCs w:val="21"/>
              </w:rPr>
            </w:pPr>
            <w:r>
              <w:rPr>
                <w:rFonts w:hint="eastAsia" w:hAnsi="宋体"/>
                <w:color w:val="auto"/>
                <w:sz w:val="21"/>
                <w:szCs w:val="21"/>
              </w:rPr>
              <w:t>其它商务条款偏离说明：</w:t>
            </w:r>
          </w:p>
        </w:tc>
      </w:tr>
    </w:tbl>
    <w:p>
      <w:pPr>
        <w:kinsoku/>
        <w:overflowPunct/>
        <w:topLinePunct w:val="0"/>
        <w:bidi w:val="0"/>
        <w:spacing w:beforeLines="50"/>
        <w:ind w:left="735" w:hanging="735" w:hangingChars="350"/>
        <w:outlineLvl w:val="9"/>
        <w:rPr>
          <w:rFonts w:hAnsi="宋体"/>
          <w:color w:val="auto"/>
          <w:sz w:val="21"/>
          <w:szCs w:val="21"/>
        </w:rPr>
      </w:pPr>
      <w:r>
        <w:rPr>
          <w:rFonts w:hint="eastAsia" w:hAnsi="宋体"/>
          <w:color w:val="auto"/>
          <w:sz w:val="21"/>
          <w:szCs w:val="21"/>
        </w:rPr>
        <w:t>注： 1.对于上述要求，如</w:t>
      </w:r>
      <w:r>
        <w:rPr>
          <w:rFonts w:hint="eastAsia" w:hAnsi="宋体"/>
          <w:color w:val="auto"/>
          <w:sz w:val="21"/>
          <w:szCs w:val="21"/>
          <w:lang w:eastAsia="zh-CN"/>
        </w:rPr>
        <w:t>响应供应商</w:t>
      </w:r>
      <w:r>
        <w:rPr>
          <w:rFonts w:hint="eastAsia" w:hAnsi="宋体"/>
          <w:color w:val="auto"/>
          <w:sz w:val="21"/>
          <w:szCs w:val="21"/>
        </w:rPr>
        <w:t>完全响应，则请在“是否响应”栏内打“√”，对空白或打“×”视为偏离，请在“偏离说明”栏内扼要说明偏离情况。</w:t>
      </w:r>
    </w:p>
    <w:p>
      <w:pPr>
        <w:kinsoku/>
        <w:overflowPunct/>
        <w:topLinePunct w:val="0"/>
        <w:bidi w:val="0"/>
        <w:ind w:firstLine="420"/>
        <w:outlineLvl w:val="9"/>
        <w:rPr>
          <w:rFonts w:hAnsi="宋体"/>
          <w:color w:val="auto"/>
          <w:sz w:val="21"/>
          <w:szCs w:val="21"/>
        </w:rPr>
      </w:pPr>
      <w:r>
        <w:rPr>
          <w:rFonts w:hint="eastAsia" w:hAnsi="宋体"/>
          <w:color w:val="auto"/>
          <w:sz w:val="21"/>
          <w:szCs w:val="21"/>
        </w:rPr>
        <w:t xml:space="preserve"> 2.本表内容不得擅自修改。</w:t>
      </w:r>
    </w:p>
    <w:p>
      <w:pPr>
        <w:kinsoku/>
        <w:overflowPunct/>
        <w:topLinePunct w:val="0"/>
        <w:bidi w:val="0"/>
        <w:snapToGrid w:val="0"/>
        <w:spacing w:line="300" w:lineRule="auto"/>
        <w:outlineLvl w:val="9"/>
        <w:rPr>
          <w:rFonts w:hAnsi="宋体"/>
          <w:color w:val="auto"/>
          <w:sz w:val="21"/>
          <w:szCs w:val="21"/>
        </w:rPr>
      </w:pPr>
    </w:p>
    <w:p>
      <w:pPr>
        <w:pStyle w:val="15"/>
        <w:kinsoku/>
        <w:overflowPunct/>
        <w:topLinePunct w:val="0"/>
        <w:bidi w:val="0"/>
        <w:outlineLvl w:val="9"/>
        <w:rPr>
          <w:color w:val="auto"/>
        </w:rPr>
      </w:pPr>
    </w:p>
    <w:p>
      <w:pPr>
        <w:kinsoku/>
        <w:overflowPunct/>
        <w:topLinePunct w:val="0"/>
        <w:bidi w:val="0"/>
        <w:outlineLvl w:val="9"/>
        <w:rPr>
          <w:color w:val="auto"/>
        </w:rPr>
      </w:pPr>
    </w:p>
    <w:p>
      <w:pPr>
        <w:pStyle w:val="15"/>
        <w:kinsoku/>
        <w:overflowPunct/>
        <w:topLinePunct w:val="0"/>
        <w:bidi w:val="0"/>
        <w:outlineLvl w:val="9"/>
        <w:rPr>
          <w:color w:val="auto"/>
        </w:rPr>
      </w:pPr>
    </w:p>
    <w:p>
      <w:pPr>
        <w:kinsoku/>
        <w:overflowPunct/>
        <w:topLinePunct w:val="0"/>
        <w:bidi w:val="0"/>
        <w:outlineLvl w:val="9"/>
        <w:rPr>
          <w:color w:val="auto"/>
        </w:rPr>
      </w:pPr>
    </w:p>
    <w:p>
      <w:pPr>
        <w:pStyle w:val="15"/>
        <w:kinsoku/>
        <w:overflowPunct/>
        <w:topLinePunct w:val="0"/>
        <w:bidi w:val="0"/>
        <w:outlineLvl w:val="9"/>
        <w:rPr>
          <w:color w:val="auto"/>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wordWrap w:val="0"/>
        <w:overflowPunct/>
        <w:topLinePunct w:val="0"/>
        <w:bidi w:val="0"/>
        <w:spacing w:line="360" w:lineRule="auto"/>
        <w:outlineLvl w:val="9"/>
        <w:rPr>
          <w:rFonts w:hAnsi="宋体"/>
          <w:color w:val="auto"/>
          <w:sz w:val="21"/>
          <w:szCs w:val="21"/>
        </w:rPr>
      </w:pPr>
    </w:p>
    <w:p>
      <w:pPr>
        <w:kinsoku/>
        <w:wordWrap w:val="0"/>
        <w:overflowPunct/>
        <w:topLinePunct w:val="0"/>
        <w:bidi w:val="0"/>
        <w:spacing w:line="360" w:lineRule="auto"/>
        <w:outlineLvl w:val="9"/>
        <w:rPr>
          <w:rFonts w:hAnsi="宋体"/>
          <w:color w:val="auto"/>
          <w:sz w:val="21"/>
          <w:szCs w:val="21"/>
        </w:rPr>
      </w:pPr>
    </w:p>
    <w:p>
      <w:pPr>
        <w:kinsoku/>
        <w:wordWrap w:val="0"/>
        <w:overflowPunct/>
        <w:topLinePunct w:val="0"/>
        <w:bidi w:val="0"/>
        <w:spacing w:line="360" w:lineRule="auto"/>
        <w:outlineLvl w:val="9"/>
        <w:rPr>
          <w:rFonts w:hAnsi="宋体"/>
          <w:color w:val="auto"/>
          <w:sz w:val="21"/>
          <w:szCs w:val="21"/>
        </w:rPr>
      </w:pPr>
    </w:p>
    <w:p>
      <w:pPr>
        <w:kinsoku/>
        <w:wordWrap w:val="0"/>
        <w:overflowPunct/>
        <w:topLinePunct w:val="0"/>
        <w:bidi w:val="0"/>
        <w:spacing w:line="360" w:lineRule="auto"/>
        <w:outlineLvl w:val="9"/>
        <w:rPr>
          <w:rFonts w:hAnsi="宋体"/>
          <w:color w:val="auto"/>
          <w:sz w:val="21"/>
          <w:szCs w:val="21"/>
        </w:rPr>
      </w:pPr>
    </w:p>
    <w:p>
      <w:pPr>
        <w:kinsoku/>
        <w:wordWrap w:val="0"/>
        <w:overflowPunct/>
        <w:topLinePunct w:val="0"/>
        <w:bidi w:val="0"/>
        <w:spacing w:line="360" w:lineRule="auto"/>
        <w:outlineLvl w:val="9"/>
        <w:rPr>
          <w:rFonts w:hAnsi="宋体"/>
          <w:color w:val="auto"/>
          <w:sz w:val="21"/>
          <w:szCs w:val="21"/>
        </w:rPr>
      </w:pPr>
    </w:p>
    <w:p>
      <w:pPr>
        <w:kinsoku/>
        <w:wordWrap w:val="0"/>
        <w:overflowPunct/>
        <w:topLinePunct w:val="0"/>
        <w:bidi w:val="0"/>
        <w:spacing w:line="360" w:lineRule="auto"/>
        <w:outlineLvl w:val="9"/>
        <w:rPr>
          <w:rFonts w:hAnsi="宋体"/>
          <w:color w:val="auto"/>
          <w:sz w:val="21"/>
          <w:szCs w:val="21"/>
        </w:rPr>
      </w:pPr>
    </w:p>
    <w:p>
      <w:pPr>
        <w:kinsoku/>
        <w:overflowPunct/>
        <w:topLinePunct w:val="0"/>
        <w:bidi w:val="0"/>
        <w:spacing w:line="480" w:lineRule="exact"/>
        <w:jc w:val="center"/>
        <w:outlineLvl w:val="9"/>
        <w:rPr>
          <w:rFonts w:hAnsi="宋体"/>
          <w:b/>
          <w:color w:val="auto"/>
          <w:sz w:val="44"/>
          <w:szCs w:val="44"/>
        </w:rPr>
      </w:pPr>
    </w:p>
    <w:p>
      <w:pPr>
        <w:kinsoku/>
        <w:overflowPunct/>
        <w:topLinePunct w:val="0"/>
        <w:bidi w:val="0"/>
        <w:spacing w:line="480" w:lineRule="exact"/>
        <w:jc w:val="center"/>
        <w:outlineLvl w:val="9"/>
        <w:rPr>
          <w:rFonts w:hAnsi="宋体"/>
          <w:b/>
          <w:color w:val="auto"/>
          <w:sz w:val="28"/>
          <w:szCs w:val="28"/>
        </w:rPr>
      </w:pPr>
      <w:r>
        <w:rPr>
          <w:rFonts w:hint="eastAsia" w:hAnsi="宋体"/>
          <w:b/>
          <w:color w:val="auto"/>
          <w:sz w:val="28"/>
          <w:szCs w:val="28"/>
          <w:lang w:eastAsia="zh-CN"/>
        </w:rPr>
        <w:t>第三节</w:t>
      </w:r>
      <w:r>
        <w:rPr>
          <w:rFonts w:hint="eastAsia" w:hAnsi="宋体"/>
          <w:b/>
          <w:color w:val="auto"/>
          <w:sz w:val="28"/>
          <w:szCs w:val="28"/>
          <w:lang w:val="en-US" w:eastAsia="zh-CN"/>
        </w:rPr>
        <w:t xml:space="preserve"> </w:t>
      </w:r>
      <w:r>
        <w:rPr>
          <w:rFonts w:hint="eastAsia" w:hAnsi="宋体"/>
          <w:b/>
          <w:color w:val="auto"/>
          <w:sz w:val="28"/>
          <w:szCs w:val="28"/>
        </w:rPr>
        <w:t>技术部分</w:t>
      </w:r>
    </w:p>
    <w:bookmarkEnd w:id="68"/>
    <w:p>
      <w:pPr>
        <w:kinsoku/>
        <w:overflowPunct/>
        <w:topLinePunct w:val="0"/>
        <w:bidi w:val="0"/>
        <w:spacing w:line="360" w:lineRule="auto"/>
        <w:outlineLvl w:val="9"/>
        <w:rPr>
          <w:rFonts w:hAnsi="宋体"/>
          <w:color w:val="auto"/>
          <w:sz w:val="21"/>
          <w:szCs w:val="21"/>
        </w:rPr>
      </w:pPr>
      <w:bookmarkStart w:id="75" w:name="_Hlt10523647"/>
      <w:bookmarkEnd w:id="75"/>
      <w:bookmarkStart w:id="76" w:name="_Hlt10520028"/>
      <w:bookmarkEnd w:id="76"/>
      <w:bookmarkStart w:id="77" w:name="_Toc10548709"/>
      <w:bookmarkStart w:id="78" w:name="_Toc4471833"/>
    </w:p>
    <w:p>
      <w:pPr>
        <w:kinsoku/>
        <w:overflowPunct/>
        <w:topLinePunct w:val="0"/>
        <w:bidi w:val="0"/>
        <w:spacing w:line="360" w:lineRule="auto"/>
        <w:outlineLvl w:val="9"/>
        <w:rPr>
          <w:rFonts w:hAnsi="宋体"/>
          <w:b/>
          <w:color w:val="auto"/>
          <w:sz w:val="21"/>
          <w:szCs w:val="20"/>
        </w:rPr>
      </w:pPr>
      <w:r>
        <w:rPr>
          <w:rFonts w:hint="eastAsia" w:hAnsi="宋体"/>
          <w:b/>
          <w:color w:val="auto"/>
          <w:sz w:val="21"/>
          <w:szCs w:val="20"/>
        </w:rPr>
        <w:t xml:space="preserve">附表3.1 </w:t>
      </w:r>
      <w:r>
        <w:rPr>
          <w:rFonts w:hint="eastAsia" w:hAnsi="宋体"/>
          <w:b/>
          <w:color w:val="auto"/>
          <w:sz w:val="21"/>
          <w:szCs w:val="20"/>
          <w:lang w:eastAsia="zh-CN"/>
        </w:rPr>
        <w:t>实施</w:t>
      </w:r>
      <w:r>
        <w:rPr>
          <w:rFonts w:hint="eastAsia" w:hAnsi="宋体"/>
          <w:b/>
          <w:color w:val="auto"/>
          <w:sz w:val="21"/>
          <w:szCs w:val="20"/>
        </w:rPr>
        <w:t>方案</w:t>
      </w:r>
    </w:p>
    <w:p>
      <w:pPr>
        <w:kinsoku/>
        <w:overflowPunct/>
        <w:topLinePunct w:val="0"/>
        <w:bidi w:val="0"/>
        <w:spacing w:line="360" w:lineRule="auto"/>
        <w:jc w:val="center"/>
        <w:outlineLvl w:val="9"/>
        <w:rPr>
          <w:rFonts w:hAnsi="宋体"/>
          <w:b/>
          <w:color w:val="auto"/>
          <w:sz w:val="21"/>
          <w:szCs w:val="21"/>
        </w:rPr>
      </w:pPr>
    </w:p>
    <w:p>
      <w:pPr>
        <w:kinsoku/>
        <w:overflowPunct/>
        <w:topLinePunct w:val="0"/>
        <w:bidi w:val="0"/>
        <w:spacing w:line="360" w:lineRule="auto"/>
        <w:jc w:val="center"/>
        <w:outlineLvl w:val="9"/>
        <w:rPr>
          <w:rFonts w:hAnsi="宋体"/>
          <w:b/>
          <w:color w:val="auto"/>
          <w:sz w:val="28"/>
          <w:szCs w:val="28"/>
        </w:rPr>
      </w:pPr>
      <w:r>
        <w:rPr>
          <w:rFonts w:hint="eastAsia" w:hAnsi="宋体"/>
          <w:b/>
          <w:color w:val="auto"/>
          <w:sz w:val="28"/>
          <w:szCs w:val="28"/>
          <w:lang w:eastAsia="zh-CN"/>
        </w:rPr>
        <w:t>实施</w:t>
      </w:r>
      <w:r>
        <w:rPr>
          <w:rFonts w:hint="eastAsia" w:hAnsi="宋体"/>
          <w:b/>
          <w:color w:val="auto"/>
          <w:sz w:val="28"/>
          <w:szCs w:val="28"/>
        </w:rPr>
        <w:t>方案</w:t>
      </w:r>
    </w:p>
    <w:p>
      <w:pPr>
        <w:spacing w:line="360" w:lineRule="auto"/>
        <w:ind w:firstLine="480" w:firstLineChars="200"/>
        <w:rPr>
          <w:rFonts w:hint="eastAsia" w:hAnsi="宋体"/>
          <w:color w:val="auto"/>
          <w:sz w:val="24"/>
          <w:szCs w:val="24"/>
        </w:rPr>
      </w:pPr>
      <w:r>
        <w:rPr>
          <w:rFonts w:hint="eastAsia" w:hAnsi="宋体"/>
          <w:color w:val="auto"/>
          <w:sz w:val="24"/>
          <w:szCs w:val="24"/>
          <w:lang w:eastAsia="zh-CN"/>
        </w:rPr>
        <w:t>响应供应商</w:t>
      </w:r>
      <w:r>
        <w:rPr>
          <w:rFonts w:hint="eastAsia" w:hAnsi="宋体"/>
          <w:color w:val="auto"/>
          <w:sz w:val="24"/>
          <w:szCs w:val="24"/>
        </w:rPr>
        <w:t>根据</w:t>
      </w:r>
      <w:r>
        <w:rPr>
          <w:rFonts w:hint="eastAsia" w:hAnsi="宋体"/>
          <w:color w:val="auto"/>
          <w:sz w:val="24"/>
          <w:szCs w:val="24"/>
          <w:lang w:eastAsia="zh-CN"/>
        </w:rPr>
        <w:t>谈判文件采购人需求内容编写，格式自拟</w:t>
      </w:r>
      <w:r>
        <w:rPr>
          <w:rFonts w:hint="eastAsia" w:hAnsi="宋体"/>
          <w:color w:val="auto"/>
          <w:sz w:val="24"/>
          <w:szCs w:val="24"/>
        </w:rPr>
        <w:t>。</w:t>
      </w:r>
    </w:p>
    <w:p>
      <w:pPr>
        <w:kinsoku/>
        <w:overflowPunct/>
        <w:topLinePunct w:val="0"/>
        <w:bidi w:val="0"/>
        <w:snapToGrid w:val="0"/>
        <w:spacing w:line="360" w:lineRule="auto"/>
        <w:outlineLvl w:val="9"/>
        <w:rPr>
          <w:rFonts w:hAnsi="宋体"/>
          <w:color w:val="auto"/>
          <w:sz w:val="21"/>
          <w:szCs w:val="21"/>
        </w:rPr>
      </w:pPr>
    </w:p>
    <w:p>
      <w:pPr>
        <w:pStyle w:val="11"/>
        <w:spacing w:line="500" w:lineRule="exact"/>
        <w:contextualSpacing/>
        <w:rPr>
          <w:rFonts w:hint="eastAsia" w:eastAsia="宋体"/>
          <w:b/>
          <w:color w:val="auto"/>
          <w:lang w:eastAsia="zh-CN"/>
        </w:rPr>
      </w:pPr>
      <w:r>
        <w:rPr>
          <w:rFonts w:hint="eastAsia" w:hAnsi="宋体"/>
          <w:b/>
          <w:color w:val="auto"/>
          <w:sz w:val="24"/>
          <w:szCs w:val="24"/>
          <w:lang w:eastAsia="zh-CN"/>
        </w:rPr>
        <w:t>附：产品</w:t>
      </w:r>
      <w:r>
        <w:rPr>
          <w:rFonts w:hint="eastAsia" w:hAnsi="宋体"/>
          <w:b/>
          <w:color w:val="auto"/>
          <w:sz w:val="24"/>
          <w:szCs w:val="24"/>
        </w:rPr>
        <w:t>说明一览表</w:t>
      </w:r>
      <w:r>
        <w:rPr>
          <w:rFonts w:hint="eastAsia" w:hAnsi="宋体"/>
          <w:b/>
          <w:color w:val="auto"/>
          <w:sz w:val="24"/>
          <w:szCs w:val="24"/>
          <w:lang w:eastAsia="zh-CN"/>
        </w:rPr>
        <w:t>（</w:t>
      </w:r>
      <w:r>
        <w:rPr>
          <w:rFonts w:hint="eastAsia" w:hAnsi="宋体"/>
          <w:b/>
          <w:color w:val="auto"/>
          <w:sz w:val="24"/>
          <w:szCs w:val="24"/>
        </w:rPr>
        <w:t>附件</w:t>
      </w:r>
      <w:r>
        <w:rPr>
          <w:rFonts w:hint="eastAsia" w:hAnsi="宋体"/>
          <w:b/>
          <w:color w:val="auto"/>
          <w:sz w:val="24"/>
          <w:szCs w:val="24"/>
          <w:lang w:val="en-US" w:eastAsia="zh-CN"/>
        </w:rPr>
        <w:t>3</w:t>
      </w:r>
      <w:r>
        <w:rPr>
          <w:rFonts w:hint="eastAsia" w:hAnsi="宋体"/>
          <w:b/>
          <w:color w:val="auto"/>
          <w:sz w:val="24"/>
          <w:szCs w:val="24"/>
        </w:rPr>
        <w:t>.1</w:t>
      </w:r>
      <w:r>
        <w:rPr>
          <w:rFonts w:hint="eastAsia" w:hAnsi="宋体"/>
          <w:b/>
          <w:color w:val="auto"/>
          <w:sz w:val="24"/>
          <w:szCs w:val="24"/>
          <w:lang w:val="en-US" w:eastAsia="zh-CN"/>
        </w:rPr>
        <w:t>.</w:t>
      </w:r>
      <w:r>
        <w:rPr>
          <w:rFonts w:hint="eastAsia" w:hAnsi="宋体"/>
          <w:b/>
          <w:color w:val="auto"/>
          <w:sz w:val="24"/>
          <w:szCs w:val="24"/>
        </w:rPr>
        <w:t>1</w:t>
      </w:r>
      <w:r>
        <w:rPr>
          <w:rFonts w:hint="eastAsia" w:hAnsi="宋体"/>
          <w:b/>
          <w:color w:val="auto"/>
          <w:sz w:val="24"/>
          <w:szCs w:val="24"/>
          <w:lang w:eastAsia="zh-CN"/>
        </w:rPr>
        <w:t>）</w:t>
      </w:r>
    </w:p>
    <w:p>
      <w:pPr>
        <w:spacing w:line="360" w:lineRule="auto"/>
        <w:rPr>
          <w:rFonts w:hint="eastAsia" w:hAnsi="宋体"/>
          <w:color w:val="auto"/>
        </w:rPr>
      </w:pPr>
    </w:p>
    <w:tbl>
      <w:tblPr>
        <w:tblStyle w:val="2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624"/>
        <w:gridCol w:w="3709"/>
        <w:gridCol w:w="850"/>
        <w:gridCol w:w="1134"/>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noWrap w:val="0"/>
            <w:vAlign w:val="center"/>
          </w:tcPr>
          <w:p>
            <w:pPr>
              <w:snapToGrid w:val="0"/>
              <w:spacing w:line="440" w:lineRule="exact"/>
              <w:jc w:val="center"/>
              <w:rPr>
                <w:rFonts w:hint="eastAsia" w:hAnsi="宋体"/>
                <w:color w:val="auto"/>
              </w:rPr>
            </w:pPr>
            <w:r>
              <w:rPr>
                <w:rFonts w:hint="eastAsia" w:hAnsi="宋体"/>
                <w:color w:val="auto"/>
              </w:rPr>
              <w:t>序号</w:t>
            </w:r>
          </w:p>
        </w:tc>
        <w:tc>
          <w:tcPr>
            <w:tcW w:w="1624" w:type="dxa"/>
            <w:noWrap w:val="0"/>
            <w:vAlign w:val="center"/>
          </w:tcPr>
          <w:p>
            <w:pPr>
              <w:snapToGrid w:val="0"/>
              <w:spacing w:line="440" w:lineRule="exact"/>
              <w:jc w:val="center"/>
              <w:rPr>
                <w:rFonts w:hint="eastAsia" w:hAnsi="宋体"/>
                <w:color w:val="auto"/>
              </w:rPr>
            </w:pPr>
            <w:r>
              <w:rPr>
                <w:rFonts w:hint="eastAsia" w:hAnsi="宋体"/>
                <w:color w:val="auto"/>
                <w:lang w:eastAsia="zh-CN"/>
              </w:rPr>
              <w:t>产品</w:t>
            </w:r>
            <w:r>
              <w:rPr>
                <w:rFonts w:hint="eastAsia" w:hAnsi="宋体"/>
                <w:color w:val="auto"/>
              </w:rPr>
              <w:t>名称</w:t>
            </w:r>
          </w:p>
        </w:tc>
        <w:tc>
          <w:tcPr>
            <w:tcW w:w="3709" w:type="dxa"/>
            <w:noWrap w:val="0"/>
            <w:vAlign w:val="center"/>
          </w:tcPr>
          <w:p>
            <w:pPr>
              <w:snapToGrid w:val="0"/>
              <w:spacing w:line="440" w:lineRule="exact"/>
              <w:jc w:val="center"/>
              <w:rPr>
                <w:rFonts w:hint="eastAsia" w:hAnsi="宋体"/>
                <w:color w:val="auto"/>
              </w:rPr>
            </w:pPr>
            <w:r>
              <w:rPr>
                <w:rFonts w:hint="eastAsia" w:hAnsi="宋体"/>
                <w:color w:val="auto"/>
              </w:rPr>
              <w:t>主要规格</w:t>
            </w:r>
          </w:p>
        </w:tc>
        <w:tc>
          <w:tcPr>
            <w:tcW w:w="850" w:type="dxa"/>
            <w:noWrap w:val="0"/>
            <w:vAlign w:val="center"/>
          </w:tcPr>
          <w:p>
            <w:pPr>
              <w:snapToGrid w:val="0"/>
              <w:spacing w:line="440" w:lineRule="exact"/>
              <w:jc w:val="center"/>
              <w:rPr>
                <w:rFonts w:hint="eastAsia" w:hAnsi="宋体"/>
                <w:color w:val="auto"/>
              </w:rPr>
            </w:pPr>
            <w:r>
              <w:rPr>
                <w:rFonts w:hint="eastAsia" w:hAnsi="宋体"/>
                <w:color w:val="auto"/>
              </w:rPr>
              <w:t>数量</w:t>
            </w:r>
          </w:p>
        </w:tc>
        <w:tc>
          <w:tcPr>
            <w:tcW w:w="1134" w:type="dxa"/>
            <w:noWrap w:val="0"/>
            <w:vAlign w:val="center"/>
          </w:tcPr>
          <w:p>
            <w:pPr>
              <w:snapToGrid w:val="0"/>
              <w:spacing w:line="440" w:lineRule="exact"/>
              <w:jc w:val="center"/>
              <w:rPr>
                <w:rFonts w:hint="eastAsia" w:hAnsi="宋体"/>
                <w:color w:val="auto"/>
              </w:rPr>
            </w:pPr>
            <w:r>
              <w:rPr>
                <w:rFonts w:hint="eastAsia" w:hAnsi="宋体"/>
                <w:color w:val="auto"/>
              </w:rPr>
              <w:t>交货期</w:t>
            </w:r>
          </w:p>
        </w:tc>
        <w:tc>
          <w:tcPr>
            <w:tcW w:w="992" w:type="dxa"/>
            <w:noWrap w:val="0"/>
            <w:vAlign w:val="center"/>
          </w:tcPr>
          <w:p>
            <w:pPr>
              <w:snapToGrid w:val="0"/>
              <w:spacing w:line="440" w:lineRule="exact"/>
              <w:jc w:val="center"/>
              <w:rPr>
                <w:rFonts w:hint="eastAsia" w:hAnsi="宋体"/>
                <w:color w:val="auto"/>
              </w:rPr>
            </w:pPr>
            <w:r>
              <w:rPr>
                <w:rFonts w:hint="eastAsia" w:hAnsi="宋体"/>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noWrap w:val="0"/>
            <w:vAlign w:val="center"/>
          </w:tcPr>
          <w:p>
            <w:pPr>
              <w:snapToGrid w:val="0"/>
              <w:spacing w:line="440" w:lineRule="exact"/>
              <w:rPr>
                <w:rFonts w:hint="eastAsia" w:hAnsi="宋体"/>
                <w:color w:val="auto"/>
              </w:rPr>
            </w:pPr>
          </w:p>
        </w:tc>
        <w:tc>
          <w:tcPr>
            <w:tcW w:w="1624" w:type="dxa"/>
            <w:noWrap w:val="0"/>
            <w:vAlign w:val="center"/>
          </w:tcPr>
          <w:p>
            <w:pPr>
              <w:snapToGrid w:val="0"/>
              <w:spacing w:line="440" w:lineRule="exact"/>
              <w:rPr>
                <w:rFonts w:hint="eastAsia" w:hAnsi="宋体"/>
                <w:color w:val="auto"/>
              </w:rPr>
            </w:pPr>
          </w:p>
        </w:tc>
        <w:tc>
          <w:tcPr>
            <w:tcW w:w="3709" w:type="dxa"/>
            <w:noWrap w:val="0"/>
            <w:vAlign w:val="center"/>
          </w:tcPr>
          <w:p>
            <w:pPr>
              <w:snapToGrid w:val="0"/>
              <w:spacing w:line="440" w:lineRule="exact"/>
              <w:rPr>
                <w:rFonts w:hint="eastAsia" w:hAnsi="宋体"/>
                <w:color w:val="auto"/>
              </w:rPr>
            </w:pPr>
          </w:p>
        </w:tc>
        <w:tc>
          <w:tcPr>
            <w:tcW w:w="850" w:type="dxa"/>
            <w:noWrap w:val="0"/>
            <w:vAlign w:val="center"/>
          </w:tcPr>
          <w:p>
            <w:pPr>
              <w:snapToGrid w:val="0"/>
              <w:spacing w:line="440" w:lineRule="exact"/>
              <w:rPr>
                <w:rFonts w:hint="eastAsia" w:hAnsi="宋体"/>
                <w:color w:val="auto"/>
              </w:rPr>
            </w:pPr>
          </w:p>
        </w:tc>
        <w:tc>
          <w:tcPr>
            <w:tcW w:w="1134" w:type="dxa"/>
            <w:noWrap w:val="0"/>
            <w:vAlign w:val="center"/>
          </w:tcPr>
          <w:p>
            <w:pPr>
              <w:snapToGrid w:val="0"/>
              <w:spacing w:line="440" w:lineRule="exact"/>
              <w:rPr>
                <w:rFonts w:hint="eastAsia" w:hAnsi="宋体"/>
                <w:color w:val="auto"/>
              </w:rPr>
            </w:pPr>
          </w:p>
        </w:tc>
        <w:tc>
          <w:tcPr>
            <w:tcW w:w="992" w:type="dxa"/>
            <w:noWrap w:val="0"/>
            <w:vAlign w:val="center"/>
          </w:tcPr>
          <w:p>
            <w:pPr>
              <w:snapToGrid w:val="0"/>
              <w:spacing w:line="440" w:lineRule="exact"/>
              <w:rPr>
                <w:rFonts w:hint="eastAsia"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noWrap w:val="0"/>
            <w:vAlign w:val="center"/>
          </w:tcPr>
          <w:p>
            <w:pPr>
              <w:snapToGrid w:val="0"/>
              <w:spacing w:line="440" w:lineRule="exact"/>
              <w:rPr>
                <w:rFonts w:hint="eastAsia" w:hAnsi="宋体"/>
                <w:color w:val="auto"/>
              </w:rPr>
            </w:pPr>
          </w:p>
        </w:tc>
        <w:tc>
          <w:tcPr>
            <w:tcW w:w="1624" w:type="dxa"/>
            <w:noWrap w:val="0"/>
            <w:vAlign w:val="center"/>
          </w:tcPr>
          <w:p>
            <w:pPr>
              <w:snapToGrid w:val="0"/>
              <w:spacing w:line="440" w:lineRule="exact"/>
              <w:rPr>
                <w:rFonts w:hint="eastAsia" w:hAnsi="宋体"/>
                <w:color w:val="auto"/>
              </w:rPr>
            </w:pPr>
          </w:p>
        </w:tc>
        <w:tc>
          <w:tcPr>
            <w:tcW w:w="3709" w:type="dxa"/>
            <w:noWrap w:val="0"/>
            <w:vAlign w:val="center"/>
          </w:tcPr>
          <w:p>
            <w:pPr>
              <w:snapToGrid w:val="0"/>
              <w:spacing w:line="440" w:lineRule="exact"/>
              <w:rPr>
                <w:rFonts w:hint="eastAsia" w:hAnsi="宋体"/>
                <w:color w:val="auto"/>
              </w:rPr>
            </w:pPr>
          </w:p>
        </w:tc>
        <w:tc>
          <w:tcPr>
            <w:tcW w:w="850" w:type="dxa"/>
            <w:noWrap w:val="0"/>
            <w:vAlign w:val="center"/>
          </w:tcPr>
          <w:p>
            <w:pPr>
              <w:snapToGrid w:val="0"/>
              <w:spacing w:line="440" w:lineRule="exact"/>
              <w:rPr>
                <w:rFonts w:hint="eastAsia" w:hAnsi="宋体"/>
                <w:color w:val="auto"/>
              </w:rPr>
            </w:pPr>
          </w:p>
        </w:tc>
        <w:tc>
          <w:tcPr>
            <w:tcW w:w="1134" w:type="dxa"/>
            <w:noWrap w:val="0"/>
            <w:vAlign w:val="center"/>
          </w:tcPr>
          <w:p>
            <w:pPr>
              <w:snapToGrid w:val="0"/>
              <w:spacing w:line="440" w:lineRule="exact"/>
              <w:rPr>
                <w:rFonts w:hint="eastAsia" w:hAnsi="宋体"/>
                <w:color w:val="auto"/>
              </w:rPr>
            </w:pPr>
          </w:p>
        </w:tc>
        <w:tc>
          <w:tcPr>
            <w:tcW w:w="992" w:type="dxa"/>
            <w:noWrap w:val="0"/>
            <w:vAlign w:val="center"/>
          </w:tcPr>
          <w:p>
            <w:pPr>
              <w:snapToGrid w:val="0"/>
              <w:spacing w:line="440" w:lineRule="exact"/>
              <w:rPr>
                <w:rFonts w:hint="eastAsia"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noWrap w:val="0"/>
            <w:vAlign w:val="center"/>
          </w:tcPr>
          <w:p>
            <w:pPr>
              <w:snapToGrid w:val="0"/>
              <w:spacing w:line="440" w:lineRule="exact"/>
              <w:rPr>
                <w:rFonts w:hint="eastAsia" w:hAnsi="宋体"/>
                <w:color w:val="auto"/>
              </w:rPr>
            </w:pPr>
          </w:p>
        </w:tc>
        <w:tc>
          <w:tcPr>
            <w:tcW w:w="1624" w:type="dxa"/>
            <w:noWrap w:val="0"/>
            <w:vAlign w:val="center"/>
          </w:tcPr>
          <w:p>
            <w:pPr>
              <w:snapToGrid w:val="0"/>
              <w:spacing w:line="440" w:lineRule="exact"/>
              <w:rPr>
                <w:rFonts w:hint="eastAsia" w:hAnsi="宋体"/>
                <w:color w:val="auto"/>
              </w:rPr>
            </w:pPr>
          </w:p>
        </w:tc>
        <w:tc>
          <w:tcPr>
            <w:tcW w:w="3709" w:type="dxa"/>
            <w:noWrap w:val="0"/>
            <w:vAlign w:val="center"/>
          </w:tcPr>
          <w:p>
            <w:pPr>
              <w:snapToGrid w:val="0"/>
              <w:spacing w:line="440" w:lineRule="exact"/>
              <w:rPr>
                <w:rFonts w:hint="eastAsia" w:hAnsi="宋体"/>
                <w:color w:val="auto"/>
              </w:rPr>
            </w:pPr>
          </w:p>
        </w:tc>
        <w:tc>
          <w:tcPr>
            <w:tcW w:w="850" w:type="dxa"/>
            <w:noWrap w:val="0"/>
            <w:vAlign w:val="center"/>
          </w:tcPr>
          <w:p>
            <w:pPr>
              <w:snapToGrid w:val="0"/>
              <w:spacing w:line="440" w:lineRule="exact"/>
              <w:rPr>
                <w:rFonts w:hint="eastAsia" w:hAnsi="宋体"/>
                <w:color w:val="auto"/>
              </w:rPr>
            </w:pPr>
          </w:p>
        </w:tc>
        <w:tc>
          <w:tcPr>
            <w:tcW w:w="1134" w:type="dxa"/>
            <w:noWrap w:val="0"/>
            <w:vAlign w:val="center"/>
          </w:tcPr>
          <w:p>
            <w:pPr>
              <w:snapToGrid w:val="0"/>
              <w:spacing w:line="440" w:lineRule="exact"/>
              <w:rPr>
                <w:rFonts w:hint="eastAsia" w:hAnsi="宋体"/>
                <w:color w:val="auto"/>
              </w:rPr>
            </w:pPr>
          </w:p>
        </w:tc>
        <w:tc>
          <w:tcPr>
            <w:tcW w:w="992" w:type="dxa"/>
            <w:noWrap w:val="0"/>
            <w:vAlign w:val="center"/>
          </w:tcPr>
          <w:p>
            <w:pPr>
              <w:snapToGrid w:val="0"/>
              <w:spacing w:line="440" w:lineRule="exact"/>
              <w:rPr>
                <w:rFonts w:hint="eastAsia" w:hAnsi="宋体"/>
                <w:color w:val="auto"/>
              </w:rPr>
            </w:pPr>
          </w:p>
        </w:tc>
      </w:tr>
    </w:tbl>
    <w:p>
      <w:pPr>
        <w:spacing w:before="120" w:beforeLines="50"/>
        <w:rPr>
          <w:rFonts w:hint="eastAsia" w:hAnsi="宋体"/>
          <w:color w:val="auto"/>
        </w:rPr>
      </w:pPr>
      <w:r>
        <w:rPr>
          <w:rFonts w:hint="eastAsia" w:hAnsi="宋体"/>
          <w:color w:val="auto"/>
        </w:rPr>
        <w:t>注：各项货物详细技术性能应另页描述。</w:t>
      </w:r>
    </w:p>
    <w:p>
      <w:pPr>
        <w:kinsoku/>
        <w:overflowPunct/>
        <w:topLinePunct w:val="0"/>
        <w:bidi w:val="0"/>
        <w:snapToGrid w:val="0"/>
        <w:spacing w:line="360" w:lineRule="auto"/>
        <w:outlineLvl w:val="9"/>
        <w:rPr>
          <w:rFonts w:hAnsi="宋体"/>
          <w:color w:val="auto"/>
          <w:sz w:val="21"/>
          <w:szCs w:val="21"/>
        </w:rPr>
      </w:pPr>
    </w:p>
    <w:p>
      <w:pPr>
        <w:pStyle w:val="3"/>
        <w:rPr>
          <w:color w:val="auto"/>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pacing w:line="480" w:lineRule="exact"/>
        <w:outlineLvl w:val="9"/>
        <w:rPr>
          <w:rFonts w:hAnsi="宋体"/>
          <w:color w:val="auto"/>
          <w:sz w:val="21"/>
          <w:szCs w:val="21"/>
        </w:rPr>
      </w:pPr>
    </w:p>
    <w:p>
      <w:pPr>
        <w:kinsoku/>
        <w:overflowPunct/>
        <w:topLinePunct w:val="0"/>
        <w:bidi w:val="0"/>
        <w:spacing w:line="360" w:lineRule="auto"/>
        <w:outlineLvl w:val="9"/>
        <w:rPr>
          <w:rFonts w:hAnsi="宋体"/>
          <w:color w:val="auto"/>
          <w:sz w:val="21"/>
          <w:szCs w:val="21"/>
        </w:rPr>
      </w:pPr>
      <w:bookmarkStart w:id="79" w:name="_Toc493666593"/>
    </w:p>
    <w:p>
      <w:pPr>
        <w:kinsoku/>
        <w:overflowPunct/>
        <w:topLinePunct w:val="0"/>
        <w:bidi w:val="0"/>
        <w:spacing w:line="360" w:lineRule="auto"/>
        <w:outlineLvl w:val="9"/>
        <w:rPr>
          <w:rFonts w:hint="eastAsia" w:hAnsi="宋体"/>
          <w:b/>
          <w:color w:val="auto"/>
          <w:sz w:val="21"/>
          <w:szCs w:val="20"/>
          <w:lang w:eastAsia="zh-CN"/>
        </w:rPr>
      </w:pPr>
      <w:r>
        <w:rPr>
          <w:rFonts w:hint="eastAsia" w:hAnsi="宋体"/>
          <w:b/>
          <w:color w:val="auto"/>
          <w:sz w:val="21"/>
          <w:szCs w:val="20"/>
          <w:lang w:eastAsia="zh-CN"/>
        </w:rPr>
        <w:t>附表3.</w:t>
      </w:r>
      <w:r>
        <w:rPr>
          <w:rFonts w:hint="eastAsia" w:hAnsi="宋体"/>
          <w:b/>
          <w:color w:val="auto"/>
          <w:sz w:val="21"/>
          <w:szCs w:val="20"/>
          <w:lang w:val="en-US" w:eastAsia="zh-CN"/>
        </w:rPr>
        <w:t>2</w:t>
      </w:r>
      <w:r>
        <w:rPr>
          <w:rFonts w:hint="eastAsia" w:hAnsi="宋体"/>
          <w:b/>
          <w:color w:val="auto"/>
          <w:sz w:val="21"/>
          <w:szCs w:val="20"/>
          <w:lang w:eastAsia="zh-CN"/>
        </w:rPr>
        <w:t xml:space="preserve"> </w:t>
      </w:r>
      <w:r>
        <w:rPr>
          <w:rFonts w:hint="eastAsia" w:hAnsi="宋体"/>
          <w:b/>
          <w:color w:val="auto"/>
          <w:sz w:val="21"/>
          <w:szCs w:val="20"/>
          <w:lang w:val="en-US" w:eastAsia="zh-CN"/>
        </w:rPr>
        <w:t>应急服务保障能力</w:t>
      </w:r>
      <w:r>
        <w:rPr>
          <w:rFonts w:hint="eastAsia" w:hAnsi="宋体"/>
          <w:b/>
          <w:color w:val="auto"/>
          <w:sz w:val="21"/>
          <w:szCs w:val="20"/>
          <w:lang w:eastAsia="zh-CN"/>
        </w:rPr>
        <w:t>格式</w:t>
      </w:r>
      <w:bookmarkEnd w:id="79"/>
    </w:p>
    <w:p>
      <w:pPr>
        <w:spacing w:line="360" w:lineRule="auto"/>
        <w:jc w:val="center"/>
        <w:rPr>
          <w:rFonts w:hint="eastAsia" w:ascii="黑体" w:hAnsi="黑体" w:eastAsia="黑体" w:cs="黑体"/>
          <w:b w:val="0"/>
          <w:bCs/>
          <w:color w:val="auto"/>
          <w:sz w:val="28"/>
          <w:szCs w:val="28"/>
          <w:lang w:val="en-US" w:eastAsia="zh-CN"/>
        </w:rPr>
      </w:pPr>
      <w:bookmarkStart w:id="80" w:name="_Hlk499237892"/>
    </w:p>
    <w:p>
      <w:pPr>
        <w:spacing w:line="360" w:lineRule="auto"/>
        <w:jc w:val="center"/>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28"/>
          <w:szCs w:val="28"/>
          <w:lang w:val="en-US" w:eastAsia="zh-CN"/>
        </w:rPr>
        <w:t>应急服务保障能力</w:t>
      </w:r>
      <w:r>
        <w:rPr>
          <w:rFonts w:hint="eastAsia" w:ascii="黑体" w:hAnsi="黑体" w:eastAsia="黑体" w:cs="黑体"/>
          <w:b w:val="0"/>
          <w:bCs/>
          <w:color w:val="auto"/>
          <w:sz w:val="28"/>
          <w:szCs w:val="28"/>
          <w:lang w:eastAsia="zh-CN"/>
        </w:rPr>
        <w:t>方案</w:t>
      </w:r>
    </w:p>
    <w:bookmarkEnd w:id="80"/>
    <w:p>
      <w:pPr>
        <w:pStyle w:val="86"/>
        <w:jc w:val="center"/>
        <w:rPr>
          <w:rFonts w:hint="eastAsia" w:ascii="宋体" w:hAnsi="宋体" w:eastAsia="宋体" w:cs="宋体"/>
          <w:b w:val="0"/>
          <w:bCs w:val="0"/>
          <w:color w:val="auto"/>
          <w:sz w:val="24"/>
          <w:szCs w:val="24"/>
          <w:lang w:eastAsia="zh-CN"/>
        </w:rPr>
      </w:pPr>
      <w:r>
        <w:rPr>
          <w:rFonts w:hint="eastAsia" w:hAnsi="宋体"/>
          <w:color w:val="auto"/>
          <w:sz w:val="24"/>
          <w:szCs w:val="24"/>
          <w:lang w:eastAsia="zh-CN"/>
        </w:rPr>
        <w:t>（</w:t>
      </w:r>
      <w:r>
        <w:rPr>
          <w:rFonts w:hint="eastAsia" w:ascii="宋体" w:hAnsi="宋体" w:eastAsia="宋体" w:cs="宋体"/>
          <w:b w:val="0"/>
          <w:bCs w:val="0"/>
          <w:color w:val="auto"/>
          <w:sz w:val="24"/>
          <w:szCs w:val="24"/>
        </w:rPr>
        <w:t>格式</w:t>
      </w:r>
      <w:r>
        <w:rPr>
          <w:rFonts w:hint="eastAsia" w:ascii="宋体" w:hAnsi="宋体" w:eastAsia="宋体" w:cs="宋体"/>
          <w:b w:val="0"/>
          <w:bCs w:val="0"/>
          <w:color w:val="auto"/>
          <w:sz w:val="24"/>
          <w:szCs w:val="24"/>
          <w:lang w:eastAsia="zh-CN"/>
        </w:rPr>
        <w:t>、内容</w:t>
      </w:r>
      <w:r>
        <w:rPr>
          <w:rFonts w:hint="eastAsia" w:ascii="宋体" w:hAnsi="宋体" w:eastAsia="宋体" w:cs="宋体"/>
          <w:b w:val="0"/>
          <w:bCs w:val="0"/>
          <w:color w:val="auto"/>
          <w:sz w:val="24"/>
          <w:szCs w:val="24"/>
        </w:rPr>
        <w:t>自定</w:t>
      </w:r>
      <w:r>
        <w:rPr>
          <w:rFonts w:hint="eastAsia" w:ascii="宋体" w:hAnsi="宋体" w:eastAsia="宋体" w:cs="宋体"/>
          <w:b w:val="0"/>
          <w:bCs w:val="0"/>
          <w:color w:val="auto"/>
          <w:sz w:val="24"/>
          <w:szCs w:val="24"/>
          <w:lang w:eastAsia="zh-CN"/>
        </w:rPr>
        <w:t>）</w:t>
      </w:r>
    </w:p>
    <w:p>
      <w:pPr>
        <w:spacing w:line="360" w:lineRule="auto"/>
        <w:jc w:val="center"/>
        <w:rPr>
          <w:rFonts w:hint="eastAsia" w:hAnsi="宋体"/>
          <w:color w:val="auto"/>
          <w:sz w:val="24"/>
          <w:szCs w:val="24"/>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pacing w:line="480" w:lineRule="exact"/>
        <w:outlineLvl w:val="9"/>
        <w:rPr>
          <w:rFonts w:hAnsi="宋体"/>
          <w:color w:val="auto"/>
          <w:sz w:val="21"/>
          <w:szCs w:val="21"/>
        </w:rPr>
      </w:pPr>
    </w:p>
    <w:p>
      <w:pPr>
        <w:kinsoku/>
        <w:overflowPunct/>
        <w:topLinePunct w:val="0"/>
        <w:bidi w:val="0"/>
        <w:spacing w:line="480" w:lineRule="exact"/>
        <w:outlineLvl w:val="9"/>
        <w:rPr>
          <w:rFonts w:hAnsi="宋体"/>
          <w:b/>
          <w:color w:val="auto"/>
          <w:sz w:val="21"/>
          <w:szCs w:val="20"/>
        </w:rPr>
      </w:pPr>
      <w:r>
        <w:rPr>
          <w:rFonts w:hint="eastAsia" w:hAnsi="宋体"/>
          <w:b/>
          <w:color w:val="auto"/>
          <w:sz w:val="21"/>
          <w:szCs w:val="20"/>
        </w:rPr>
        <w:t>附表3.</w:t>
      </w:r>
      <w:r>
        <w:rPr>
          <w:rFonts w:hint="eastAsia" w:hAnsi="宋体"/>
          <w:b/>
          <w:color w:val="auto"/>
          <w:sz w:val="21"/>
          <w:szCs w:val="20"/>
          <w:lang w:val="en-US" w:eastAsia="zh-CN"/>
        </w:rPr>
        <w:t>3</w:t>
      </w:r>
      <w:r>
        <w:rPr>
          <w:rFonts w:hint="eastAsia" w:hAnsi="宋体"/>
          <w:b/>
          <w:color w:val="auto"/>
          <w:sz w:val="21"/>
          <w:szCs w:val="20"/>
        </w:rPr>
        <w:t xml:space="preserve"> 采购人配合的条件（如有）</w:t>
      </w:r>
    </w:p>
    <w:p>
      <w:pPr>
        <w:kinsoku/>
        <w:overflowPunct/>
        <w:topLinePunct w:val="0"/>
        <w:bidi w:val="0"/>
        <w:spacing w:line="480" w:lineRule="exact"/>
        <w:jc w:val="center"/>
        <w:outlineLvl w:val="9"/>
        <w:rPr>
          <w:rFonts w:hAnsi="宋体"/>
          <w:b/>
          <w:bCs/>
          <w:color w:val="auto"/>
          <w:sz w:val="28"/>
        </w:rPr>
      </w:pPr>
      <w:r>
        <w:rPr>
          <w:rFonts w:hint="eastAsia" w:hAnsi="宋体"/>
          <w:b/>
          <w:bCs/>
          <w:color w:val="auto"/>
          <w:sz w:val="28"/>
        </w:rPr>
        <w:t xml:space="preserve"> 采购人配合的条件</w:t>
      </w:r>
    </w:p>
    <w:p>
      <w:pPr>
        <w:kinsoku/>
        <w:overflowPunct/>
        <w:topLinePunct w:val="0"/>
        <w:bidi w:val="0"/>
        <w:spacing w:line="480" w:lineRule="exact"/>
        <w:ind w:firstLine="403"/>
        <w:outlineLvl w:val="9"/>
        <w:rPr>
          <w:rFonts w:hAnsi="宋体"/>
          <w:color w:val="auto"/>
          <w:sz w:val="21"/>
          <w:szCs w:val="21"/>
        </w:rPr>
      </w:pPr>
      <w:r>
        <w:rPr>
          <w:rFonts w:hint="eastAsia" w:hAnsi="宋体"/>
          <w:color w:val="auto"/>
          <w:sz w:val="21"/>
          <w:szCs w:val="21"/>
        </w:rPr>
        <w:t>为配合本项目计划进度时间表所进行的各阶段工作，</w:t>
      </w:r>
      <w:r>
        <w:rPr>
          <w:rFonts w:hint="eastAsia" w:hAnsi="宋体"/>
          <w:color w:val="auto"/>
          <w:sz w:val="21"/>
          <w:szCs w:val="21"/>
          <w:lang w:eastAsia="zh-CN"/>
        </w:rPr>
        <w:t>响应供应商</w:t>
      </w:r>
      <w:r>
        <w:rPr>
          <w:rFonts w:hint="eastAsia" w:hAnsi="宋体"/>
          <w:color w:val="auto"/>
          <w:sz w:val="21"/>
          <w:szCs w:val="21"/>
        </w:rPr>
        <w:t>必须列明需要采购人配合的工作内容和具体要求。</w:t>
      </w:r>
    </w:p>
    <w:p>
      <w:pPr>
        <w:kinsoku/>
        <w:overflowPunct/>
        <w:topLinePunct w:val="0"/>
        <w:bidi w:val="0"/>
        <w:spacing w:line="480" w:lineRule="exact"/>
        <w:ind w:firstLine="403"/>
        <w:outlineLvl w:val="9"/>
        <w:rPr>
          <w:rFonts w:hAnsi="宋体"/>
          <w:color w:val="auto"/>
          <w:sz w:val="21"/>
          <w:szCs w:val="21"/>
        </w:rPr>
      </w:pPr>
    </w:p>
    <w:bookmarkEnd w:id="77"/>
    <w:bookmarkEnd w:id="78"/>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pacing w:line="480" w:lineRule="exact"/>
        <w:ind w:firstLine="403"/>
        <w:outlineLvl w:val="9"/>
        <w:rPr>
          <w:rFonts w:hAnsi="宋体"/>
          <w:color w:val="auto"/>
          <w:sz w:val="21"/>
          <w:szCs w:val="21"/>
        </w:rPr>
      </w:pPr>
    </w:p>
    <w:p>
      <w:pPr>
        <w:kinsoku/>
        <w:overflowPunct/>
        <w:topLinePunct w:val="0"/>
        <w:bidi w:val="0"/>
        <w:spacing w:after="120" w:line="480" w:lineRule="exact"/>
        <w:outlineLvl w:val="9"/>
        <w:rPr>
          <w:rFonts w:hAnsi="宋体"/>
          <w:b/>
          <w:color w:val="auto"/>
          <w:sz w:val="21"/>
          <w:szCs w:val="20"/>
        </w:rPr>
      </w:pPr>
      <w:bookmarkStart w:id="81" w:name="_Hlt10567911"/>
      <w:bookmarkEnd w:id="81"/>
      <w:bookmarkStart w:id="82" w:name="_Toc382926913"/>
      <w:bookmarkStart w:id="83" w:name="_Toc382840861"/>
      <w:r>
        <w:rPr>
          <w:rFonts w:hint="eastAsia" w:hAnsi="宋体"/>
          <w:b/>
          <w:color w:val="auto"/>
          <w:sz w:val="21"/>
          <w:szCs w:val="20"/>
        </w:rPr>
        <w:t>附表3.</w:t>
      </w:r>
      <w:r>
        <w:rPr>
          <w:rFonts w:hint="eastAsia" w:hAnsi="宋体"/>
          <w:b/>
          <w:color w:val="auto"/>
          <w:sz w:val="21"/>
          <w:szCs w:val="20"/>
          <w:lang w:val="en-US" w:eastAsia="zh-CN"/>
        </w:rPr>
        <w:t>4</w:t>
      </w:r>
      <w:r>
        <w:rPr>
          <w:rFonts w:hint="eastAsia" w:hAnsi="宋体"/>
          <w:b/>
          <w:color w:val="auto"/>
          <w:sz w:val="21"/>
          <w:szCs w:val="20"/>
        </w:rPr>
        <w:t xml:space="preserve"> 技术规格偏离表格式</w:t>
      </w:r>
    </w:p>
    <w:p>
      <w:pPr>
        <w:kinsoku/>
        <w:overflowPunct/>
        <w:topLinePunct w:val="0"/>
        <w:bidi w:val="0"/>
        <w:spacing w:line="360" w:lineRule="auto"/>
        <w:jc w:val="center"/>
        <w:outlineLvl w:val="9"/>
        <w:rPr>
          <w:rFonts w:hAnsi="宋体"/>
          <w:b/>
          <w:bCs w:val="0"/>
          <w:color w:val="auto"/>
          <w:sz w:val="28"/>
          <w:szCs w:val="28"/>
        </w:rPr>
      </w:pPr>
      <w:r>
        <w:rPr>
          <w:rFonts w:hint="eastAsia" w:hAnsi="宋体"/>
          <w:b/>
          <w:bCs w:val="0"/>
          <w:color w:val="auto"/>
          <w:sz w:val="28"/>
          <w:szCs w:val="28"/>
        </w:rPr>
        <w:t>技术规格偏离表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03"/>
        <w:textAlignment w:val="auto"/>
        <w:outlineLvl w:val="9"/>
        <w:rPr>
          <w:rFonts w:hint="eastAsia" w:hAnsi="宋体"/>
          <w:color w:val="auto"/>
          <w:sz w:val="21"/>
          <w:szCs w:val="21"/>
        </w:rPr>
      </w:pPr>
      <w:r>
        <w:rPr>
          <w:rFonts w:hint="eastAsia" w:hAnsi="宋体"/>
          <w:color w:val="auto"/>
          <w:sz w:val="21"/>
          <w:szCs w:val="21"/>
        </w:rPr>
        <w:t>项目名称：</w:t>
      </w:r>
      <w:r>
        <w:rPr>
          <w:rFonts w:hint="eastAsia" w:hAnsi="宋体"/>
          <w:color w:val="auto"/>
          <w:sz w:val="21"/>
          <w:szCs w:val="21"/>
          <w:lang w:eastAsia="zh-CN"/>
        </w:rPr>
        <w:t>洗衣房洗涤用品采购项目（第二次）</w:t>
      </w:r>
      <w:r>
        <w:rPr>
          <w:rFonts w:hint="eastAsia" w:hAnsi="宋体"/>
          <w:color w:val="auto"/>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03"/>
        <w:textAlignment w:val="auto"/>
        <w:outlineLvl w:val="9"/>
        <w:rPr>
          <w:rFonts w:hint="eastAsia" w:hAnsi="宋体"/>
          <w:color w:val="auto"/>
          <w:sz w:val="21"/>
          <w:szCs w:val="21"/>
        </w:rPr>
      </w:pPr>
      <w:r>
        <w:rPr>
          <w:rFonts w:hint="eastAsia" w:hAnsi="宋体"/>
          <w:color w:val="auto"/>
          <w:sz w:val="21"/>
          <w:szCs w:val="21"/>
        </w:rPr>
        <w:t>项目编号：</w:t>
      </w:r>
      <w:r>
        <w:rPr>
          <w:rFonts w:hint="eastAsia" w:hAnsi="宋体"/>
          <w:color w:val="auto"/>
          <w:sz w:val="21"/>
          <w:szCs w:val="21"/>
          <w:lang w:eastAsia="zh-CN"/>
        </w:rPr>
        <w:t>NFQYCG2023002</w:t>
      </w:r>
      <w:r>
        <w:rPr>
          <w:rFonts w:hint="eastAsia" w:hAnsi="宋体"/>
          <w:color w:val="auto"/>
          <w:sz w:val="21"/>
          <w:szCs w:val="21"/>
        </w:rPr>
        <w:t xml:space="preserve">  </w:t>
      </w:r>
    </w:p>
    <w:tbl>
      <w:tblPr>
        <w:tblStyle w:val="21"/>
        <w:tblW w:w="99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3"/>
        <w:gridCol w:w="2659"/>
        <w:gridCol w:w="2501"/>
        <w:gridCol w:w="1271"/>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2233" w:type="dxa"/>
            <w:vAlign w:val="center"/>
          </w:tcPr>
          <w:p>
            <w:pPr>
              <w:kinsoku/>
              <w:overflowPunct/>
              <w:topLinePunct w:val="0"/>
              <w:bidi w:val="0"/>
              <w:spacing w:line="240" w:lineRule="exact"/>
              <w:jc w:val="center"/>
              <w:outlineLvl w:val="9"/>
              <w:rPr>
                <w:rFonts w:hAnsi="宋体"/>
                <w:color w:val="auto"/>
                <w:sz w:val="21"/>
                <w:szCs w:val="21"/>
              </w:rPr>
            </w:pPr>
            <w:r>
              <w:rPr>
                <w:rFonts w:hint="eastAsia" w:hAnsi="宋体"/>
                <w:color w:val="auto"/>
                <w:sz w:val="21"/>
                <w:szCs w:val="21"/>
              </w:rPr>
              <w:t>招标/谈判文件条目号</w:t>
            </w:r>
          </w:p>
        </w:tc>
        <w:tc>
          <w:tcPr>
            <w:tcW w:w="2659" w:type="dxa"/>
            <w:vAlign w:val="center"/>
          </w:tcPr>
          <w:p>
            <w:pPr>
              <w:kinsoku/>
              <w:overflowPunct/>
              <w:topLinePunct w:val="0"/>
              <w:bidi w:val="0"/>
              <w:spacing w:line="240" w:lineRule="exact"/>
              <w:jc w:val="center"/>
              <w:outlineLvl w:val="9"/>
              <w:rPr>
                <w:rFonts w:hAnsi="宋体"/>
                <w:color w:val="auto"/>
                <w:sz w:val="21"/>
                <w:szCs w:val="21"/>
              </w:rPr>
            </w:pPr>
            <w:r>
              <w:rPr>
                <w:rFonts w:hint="eastAsia" w:hAnsi="宋体"/>
                <w:color w:val="auto"/>
                <w:sz w:val="21"/>
                <w:szCs w:val="21"/>
              </w:rPr>
              <w:t>招标/谈判要求</w:t>
            </w:r>
          </w:p>
        </w:tc>
        <w:tc>
          <w:tcPr>
            <w:tcW w:w="2501" w:type="dxa"/>
            <w:vAlign w:val="center"/>
          </w:tcPr>
          <w:p>
            <w:pPr>
              <w:kinsoku/>
              <w:overflowPunct/>
              <w:topLinePunct w:val="0"/>
              <w:bidi w:val="0"/>
              <w:spacing w:line="240" w:lineRule="exact"/>
              <w:jc w:val="center"/>
              <w:outlineLvl w:val="9"/>
              <w:rPr>
                <w:rFonts w:hAnsi="宋体"/>
                <w:color w:val="auto"/>
                <w:sz w:val="21"/>
                <w:szCs w:val="21"/>
              </w:rPr>
            </w:pPr>
            <w:r>
              <w:rPr>
                <w:rFonts w:hint="eastAsia" w:hAnsi="宋体"/>
                <w:color w:val="auto"/>
                <w:sz w:val="21"/>
                <w:szCs w:val="21"/>
              </w:rPr>
              <w:t>投标/响应规格</w:t>
            </w:r>
          </w:p>
        </w:tc>
        <w:tc>
          <w:tcPr>
            <w:tcW w:w="1271" w:type="dxa"/>
            <w:vAlign w:val="center"/>
          </w:tcPr>
          <w:p>
            <w:pPr>
              <w:kinsoku/>
              <w:overflowPunct/>
              <w:topLinePunct w:val="0"/>
              <w:bidi w:val="0"/>
              <w:spacing w:line="240" w:lineRule="exact"/>
              <w:jc w:val="center"/>
              <w:outlineLvl w:val="9"/>
              <w:rPr>
                <w:rFonts w:hAnsi="宋体"/>
                <w:color w:val="auto"/>
                <w:sz w:val="21"/>
                <w:szCs w:val="21"/>
              </w:rPr>
            </w:pPr>
            <w:r>
              <w:rPr>
                <w:rFonts w:hint="eastAsia" w:hAnsi="宋体"/>
                <w:color w:val="auto"/>
                <w:sz w:val="21"/>
                <w:szCs w:val="21"/>
              </w:rPr>
              <w:t>偏离情况</w:t>
            </w:r>
          </w:p>
        </w:tc>
        <w:tc>
          <w:tcPr>
            <w:tcW w:w="1260" w:type="dxa"/>
            <w:vAlign w:val="center"/>
          </w:tcPr>
          <w:p>
            <w:pPr>
              <w:kinsoku/>
              <w:overflowPunct/>
              <w:topLinePunct w:val="0"/>
              <w:bidi w:val="0"/>
              <w:spacing w:line="240" w:lineRule="exact"/>
              <w:jc w:val="center"/>
              <w:outlineLvl w:val="9"/>
              <w:rPr>
                <w:rFonts w:hAnsi="宋体"/>
                <w:color w:val="auto"/>
                <w:sz w:val="21"/>
                <w:szCs w:val="21"/>
              </w:rPr>
            </w:pPr>
            <w:r>
              <w:rPr>
                <w:rFonts w:hint="eastAsia" w:hAnsi="宋体"/>
                <w:color w:val="auto"/>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33" w:type="dxa"/>
          </w:tcPr>
          <w:p>
            <w:pPr>
              <w:kinsoku/>
              <w:overflowPunct/>
              <w:topLinePunct w:val="0"/>
              <w:bidi w:val="0"/>
              <w:spacing w:line="360" w:lineRule="auto"/>
              <w:outlineLvl w:val="9"/>
              <w:rPr>
                <w:rFonts w:hAnsi="宋体"/>
                <w:color w:val="auto"/>
                <w:sz w:val="21"/>
                <w:szCs w:val="21"/>
              </w:rPr>
            </w:pPr>
          </w:p>
        </w:tc>
        <w:tc>
          <w:tcPr>
            <w:tcW w:w="2659" w:type="dxa"/>
          </w:tcPr>
          <w:p>
            <w:pPr>
              <w:kinsoku/>
              <w:overflowPunct/>
              <w:topLinePunct w:val="0"/>
              <w:bidi w:val="0"/>
              <w:spacing w:line="360" w:lineRule="auto"/>
              <w:outlineLvl w:val="9"/>
              <w:rPr>
                <w:rFonts w:hAnsi="宋体"/>
                <w:color w:val="auto"/>
                <w:sz w:val="21"/>
                <w:szCs w:val="21"/>
              </w:rPr>
            </w:pPr>
          </w:p>
        </w:tc>
        <w:tc>
          <w:tcPr>
            <w:tcW w:w="2501" w:type="dxa"/>
          </w:tcPr>
          <w:p>
            <w:pPr>
              <w:kinsoku/>
              <w:overflowPunct/>
              <w:topLinePunct w:val="0"/>
              <w:bidi w:val="0"/>
              <w:spacing w:line="360" w:lineRule="auto"/>
              <w:outlineLvl w:val="9"/>
              <w:rPr>
                <w:rFonts w:hAnsi="宋体"/>
                <w:color w:val="auto"/>
                <w:sz w:val="21"/>
                <w:szCs w:val="21"/>
              </w:rPr>
            </w:pPr>
          </w:p>
        </w:tc>
        <w:tc>
          <w:tcPr>
            <w:tcW w:w="1271" w:type="dxa"/>
          </w:tcPr>
          <w:p>
            <w:pPr>
              <w:kinsoku/>
              <w:overflowPunct/>
              <w:topLinePunct w:val="0"/>
              <w:bidi w:val="0"/>
              <w:spacing w:line="360" w:lineRule="auto"/>
              <w:outlineLvl w:val="9"/>
              <w:rPr>
                <w:rFonts w:hAnsi="宋体"/>
                <w:color w:val="auto"/>
                <w:sz w:val="21"/>
                <w:szCs w:val="21"/>
              </w:rPr>
            </w:pPr>
          </w:p>
        </w:tc>
        <w:tc>
          <w:tcPr>
            <w:tcW w:w="1260"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33" w:type="dxa"/>
            <w:vAlign w:val="center"/>
          </w:tcPr>
          <w:p>
            <w:pPr>
              <w:kinsoku/>
              <w:overflowPunct/>
              <w:topLinePunct w:val="0"/>
              <w:bidi w:val="0"/>
              <w:outlineLvl w:val="9"/>
              <w:rPr>
                <w:rFonts w:hAnsi="宋体" w:cs="宋体"/>
                <w:color w:val="auto"/>
                <w:sz w:val="21"/>
                <w:szCs w:val="21"/>
              </w:rPr>
            </w:pPr>
          </w:p>
        </w:tc>
        <w:tc>
          <w:tcPr>
            <w:tcW w:w="2659" w:type="dxa"/>
            <w:vAlign w:val="center"/>
          </w:tcPr>
          <w:p>
            <w:pPr>
              <w:kinsoku/>
              <w:overflowPunct/>
              <w:topLinePunct w:val="0"/>
              <w:bidi w:val="0"/>
              <w:outlineLvl w:val="9"/>
              <w:rPr>
                <w:rFonts w:hAnsi="宋体" w:cs="宋体"/>
                <w:color w:val="auto"/>
                <w:sz w:val="21"/>
                <w:szCs w:val="21"/>
              </w:rPr>
            </w:pPr>
          </w:p>
        </w:tc>
        <w:tc>
          <w:tcPr>
            <w:tcW w:w="2501" w:type="dxa"/>
          </w:tcPr>
          <w:p>
            <w:pPr>
              <w:kinsoku/>
              <w:overflowPunct/>
              <w:topLinePunct w:val="0"/>
              <w:bidi w:val="0"/>
              <w:spacing w:line="360" w:lineRule="auto"/>
              <w:outlineLvl w:val="9"/>
              <w:rPr>
                <w:rFonts w:hAnsi="宋体"/>
                <w:color w:val="auto"/>
                <w:sz w:val="21"/>
                <w:szCs w:val="21"/>
              </w:rPr>
            </w:pPr>
          </w:p>
        </w:tc>
        <w:tc>
          <w:tcPr>
            <w:tcW w:w="1271" w:type="dxa"/>
          </w:tcPr>
          <w:p>
            <w:pPr>
              <w:kinsoku/>
              <w:overflowPunct/>
              <w:topLinePunct w:val="0"/>
              <w:bidi w:val="0"/>
              <w:spacing w:line="360" w:lineRule="auto"/>
              <w:outlineLvl w:val="9"/>
              <w:rPr>
                <w:rFonts w:hAnsi="宋体"/>
                <w:color w:val="auto"/>
                <w:sz w:val="21"/>
                <w:szCs w:val="21"/>
              </w:rPr>
            </w:pPr>
          </w:p>
        </w:tc>
        <w:tc>
          <w:tcPr>
            <w:tcW w:w="1260"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33" w:type="dxa"/>
          </w:tcPr>
          <w:p>
            <w:pPr>
              <w:kinsoku/>
              <w:overflowPunct/>
              <w:topLinePunct w:val="0"/>
              <w:bidi w:val="0"/>
              <w:spacing w:line="360" w:lineRule="auto"/>
              <w:outlineLvl w:val="9"/>
              <w:rPr>
                <w:rFonts w:hAnsi="宋体"/>
                <w:color w:val="auto"/>
                <w:sz w:val="21"/>
                <w:szCs w:val="21"/>
              </w:rPr>
            </w:pPr>
          </w:p>
        </w:tc>
        <w:tc>
          <w:tcPr>
            <w:tcW w:w="2659" w:type="dxa"/>
          </w:tcPr>
          <w:p>
            <w:pPr>
              <w:kinsoku/>
              <w:overflowPunct/>
              <w:topLinePunct w:val="0"/>
              <w:bidi w:val="0"/>
              <w:spacing w:line="360" w:lineRule="auto"/>
              <w:outlineLvl w:val="9"/>
              <w:rPr>
                <w:rFonts w:hAnsi="宋体"/>
                <w:color w:val="auto"/>
                <w:sz w:val="21"/>
                <w:szCs w:val="21"/>
              </w:rPr>
            </w:pPr>
          </w:p>
        </w:tc>
        <w:tc>
          <w:tcPr>
            <w:tcW w:w="2501" w:type="dxa"/>
          </w:tcPr>
          <w:p>
            <w:pPr>
              <w:kinsoku/>
              <w:overflowPunct/>
              <w:topLinePunct w:val="0"/>
              <w:bidi w:val="0"/>
              <w:spacing w:line="360" w:lineRule="auto"/>
              <w:outlineLvl w:val="9"/>
              <w:rPr>
                <w:rFonts w:hAnsi="宋体"/>
                <w:color w:val="auto"/>
                <w:sz w:val="21"/>
                <w:szCs w:val="21"/>
              </w:rPr>
            </w:pPr>
          </w:p>
        </w:tc>
        <w:tc>
          <w:tcPr>
            <w:tcW w:w="1271" w:type="dxa"/>
          </w:tcPr>
          <w:p>
            <w:pPr>
              <w:kinsoku/>
              <w:overflowPunct/>
              <w:topLinePunct w:val="0"/>
              <w:bidi w:val="0"/>
              <w:spacing w:line="360" w:lineRule="auto"/>
              <w:outlineLvl w:val="9"/>
              <w:rPr>
                <w:rFonts w:hAnsi="宋体"/>
                <w:color w:val="auto"/>
                <w:sz w:val="21"/>
                <w:szCs w:val="21"/>
              </w:rPr>
            </w:pPr>
          </w:p>
        </w:tc>
        <w:tc>
          <w:tcPr>
            <w:tcW w:w="1260"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33" w:type="dxa"/>
          </w:tcPr>
          <w:p>
            <w:pPr>
              <w:kinsoku/>
              <w:overflowPunct/>
              <w:topLinePunct w:val="0"/>
              <w:bidi w:val="0"/>
              <w:spacing w:line="360" w:lineRule="auto"/>
              <w:outlineLvl w:val="9"/>
              <w:rPr>
                <w:rFonts w:hAnsi="宋体"/>
                <w:color w:val="auto"/>
                <w:sz w:val="21"/>
                <w:szCs w:val="21"/>
              </w:rPr>
            </w:pPr>
          </w:p>
        </w:tc>
        <w:tc>
          <w:tcPr>
            <w:tcW w:w="2659" w:type="dxa"/>
          </w:tcPr>
          <w:p>
            <w:pPr>
              <w:kinsoku/>
              <w:overflowPunct/>
              <w:topLinePunct w:val="0"/>
              <w:bidi w:val="0"/>
              <w:spacing w:line="360" w:lineRule="auto"/>
              <w:outlineLvl w:val="9"/>
              <w:rPr>
                <w:rFonts w:hAnsi="宋体"/>
                <w:color w:val="auto"/>
                <w:sz w:val="21"/>
                <w:szCs w:val="21"/>
              </w:rPr>
            </w:pPr>
          </w:p>
        </w:tc>
        <w:tc>
          <w:tcPr>
            <w:tcW w:w="2501" w:type="dxa"/>
          </w:tcPr>
          <w:p>
            <w:pPr>
              <w:kinsoku/>
              <w:overflowPunct/>
              <w:topLinePunct w:val="0"/>
              <w:bidi w:val="0"/>
              <w:spacing w:line="360" w:lineRule="auto"/>
              <w:outlineLvl w:val="9"/>
              <w:rPr>
                <w:rFonts w:hAnsi="宋体"/>
                <w:color w:val="auto"/>
                <w:sz w:val="21"/>
                <w:szCs w:val="21"/>
              </w:rPr>
            </w:pPr>
          </w:p>
        </w:tc>
        <w:tc>
          <w:tcPr>
            <w:tcW w:w="1271" w:type="dxa"/>
          </w:tcPr>
          <w:p>
            <w:pPr>
              <w:kinsoku/>
              <w:overflowPunct/>
              <w:topLinePunct w:val="0"/>
              <w:bidi w:val="0"/>
              <w:spacing w:line="360" w:lineRule="auto"/>
              <w:outlineLvl w:val="9"/>
              <w:rPr>
                <w:rFonts w:hAnsi="宋体"/>
                <w:color w:val="auto"/>
                <w:sz w:val="21"/>
                <w:szCs w:val="21"/>
              </w:rPr>
            </w:pPr>
          </w:p>
        </w:tc>
        <w:tc>
          <w:tcPr>
            <w:tcW w:w="1260"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33" w:type="dxa"/>
          </w:tcPr>
          <w:p>
            <w:pPr>
              <w:kinsoku/>
              <w:overflowPunct/>
              <w:topLinePunct w:val="0"/>
              <w:bidi w:val="0"/>
              <w:spacing w:line="360" w:lineRule="auto"/>
              <w:outlineLvl w:val="9"/>
              <w:rPr>
                <w:rFonts w:hAnsi="宋体"/>
                <w:color w:val="auto"/>
                <w:sz w:val="21"/>
                <w:szCs w:val="21"/>
              </w:rPr>
            </w:pPr>
          </w:p>
        </w:tc>
        <w:tc>
          <w:tcPr>
            <w:tcW w:w="2659" w:type="dxa"/>
          </w:tcPr>
          <w:p>
            <w:pPr>
              <w:kinsoku/>
              <w:overflowPunct/>
              <w:topLinePunct w:val="0"/>
              <w:bidi w:val="0"/>
              <w:spacing w:line="360" w:lineRule="auto"/>
              <w:outlineLvl w:val="9"/>
              <w:rPr>
                <w:rFonts w:hAnsi="宋体"/>
                <w:color w:val="auto"/>
                <w:sz w:val="21"/>
                <w:szCs w:val="21"/>
              </w:rPr>
            </w:pPr>
          </w:p>
        </w:tc>
        <w:tc>
          <w:tcPr>
            <w:tcW w:w="2501" w:type="dxa"/>
          </w:tcPr>
          <w:p>
            <w:pPr>
              <w:kinsoku/>
              <w:overflowPunct/>
              <w:topLinePunct w:val="0"/>
              <w:bidi w:val="0"/>
              <w:spacing w:line="360" w:lineRule="auto"/>
              <w:outlineLvl w:val="9"/>
              <w:rPr>
                <w:rFonts w:hAnsi="宋体"/>
                <w:color w:val="auto"/>
                <w:sz w:val="21"/>
                <w:szCs w:val="21"/>
              </w:rPr>
            </w:pPr>
          </w:p>
        </w:tc>
        <w:tc>
          <w:tcPr>
            <w:tcW w:w="1271" w:type="dxa"/>
          </w:tcPr>
          <w:p>
            <w:pPr>
              <w:kinsoku/>
              <w:overflowPunct/>
              <w:topLinePunct w:val="0"/>
              <w:bidi w:val="0"/>
              <w:spacing w:line="360" w:lineRule="auto"/>
              <w:outlineLvl w:val="9"/>
              <w:rPr>
                <w:rFonts w:hAnsi="宋体"/>
                <w:color w:val="auto"/>
                <w:sz w:val="21"/>
                <w:szCs w:val="21"/>
              </w:rPr>
            </w:pPr>
          </w:p>
        </w:tc>
        <w:tc>
          <w:tcPr>
            <w:tcW w:w="1260"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33" w:type="dxa"/>
          </w:tcPr>
          <w:p>
            <w:pPr>
              <w:kinsoku/>
              <w:overflowPunct/>
              <w:topLinePunct w:val="0"/>
              <w:bidi w:val="0"/>
              <w:spacing w:line="360" w:lineRule="auto"/>
              <w:outlineLvl w:val="9"/>
              <w:rPr>
                <w:rFonts w:hAnsi="宋体"/>
                <w:color w:val="auto"/>
                <w:sz w:val="21"/>
                <w:szCs w:val="21"/>
              </w:rPr>
            </w:pPr>
          </w:p>
        </w:tc>
        <w:tc>
          <w:tcPr>
            <w:tcW w:w="2659" w:type="dxa"/>
          </w:tcPr>
          <w:p>
            <w:pPr>
              <w:kinsoku/>
              <w:overflowPunct/>
              <w:topLinePunct w:val="0"/>
              <w:bidi w:val="0"/>
              <w:spacing w:line="360" w:lineRule="auto"/>
              <w:outlineLvl w:val="9"/>
              <w:rPr>
                <w:rFonts w:hAnsi="宋体"/>
                <w:color w:val="auto"/>
                <w:sz w:val="21"/>
                <w:szCs w:val="21"/>
              </w:rPr>
            </w:pPr>
          </w:p>
        </w:tc>
        <w:tc>
          <w:tcPr>
            <w:tcW w:w="2501" w:type="dxa"/>
          </w:tcPr>
          <w:p>
            <w:pPr>
              <w:kinsoku/>
              <w:overflowPunct/>
              <w:topLinePunct w:val="0"/>
              <w:bidi w:val="0"/>
              <w:spacing w:line="360" w:lineRule="auto"/>
              <w:outlineLvl w:val="9"/>
              <w:rPr>
                <w:rFonts w:hAnsi="宋体"/>
                <w:color w:val="auto"/>
                <w:sz w:val="21"/>
                <w:szCs w:val="21"/>
              </w:rPr>
            </w:pPr>
          </w:p>
        </w:tc>
        <w:tc>
          <w:tcPr>
            <w:tcW w:w="1271" w:type="dxa"/>
          </w:tcPr>
          <w:p>
            <w:pPr>
              <w:kinsoku/>
              <w:overflowPunct/>
              <w:topLinePunct w:val="0"/>
              <w:bidi w:val="0"/>
              <w:spacing w:line="360" w:lineRule="auto"/>
              <w:outlineLvl w:val="9"/>
              <w:rPr>
                <w:rFonts w:hAnsi="宋体"/>
                <w:color w:val="auto"/>
                <w:sz w:val="21"/>
                <w:szCs w:val="21"/>
              </w:rPr>
            </w:pPr>
          </w:p>
        </w:tc>
        <w:tc>
          <w:tcPr>
            <w:tcW w:w="1260" w:type="dxa"/>
          </w:tcPr>
          <w:p>
            <w:pPr>
              <w:kinsoku/>
              <w:overflowPunct/>
              <w:topLinePunct w:val="0"/>
              <w:bidi w:val="0"/>
              <w:spacing w:line="360" w:lineRule="auto"/>
              <w:outlineLvl w:val="9"/>
              <w:rPr>
                <w:rFonts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33" w:type="dxa"/>
          </w:tcPr>
          <w:p>
            <w:pPr>
              <w:kinsoku/>
              <w:overflowPunct/>
              <w:topLinePunct w:val="0"/>
              <w:bidi w:val="0"/>
              <w:spacing w:line="360" w:lineRule="auto"/>
              <w:outlineLvl w:val="9"/>
              <w:rPr>
                <w:rFonts w:hAnsi="宋体"/>
                <w:color w:val="auto"/>
                <w:sz w:val="21"/>
                <w:szCs w:val="21"/>
              </w:rPr>
            </w:pPr>
          </w:p>
        </w:tc>
        <w:tc>
          <w:tcPr>
            <w:tcW w:w="2659" w:type="dxa"/>
          </w:tcPr>
          <w:p>
            <w:pPr>
              <w:kinsoku/>
              <w:overflowPunct/>
              <w:topLinePunct w:val="0"/>
              <w:bidi w:val="0"/>
              <w:spacing w:line="360" w:lineRule="auto"/>
              <w:outlineLvl w:val="9"/>
              <w:rPr>
                <w:rFonts w:hAnsi="宋体"/>
                <w:color w:val="auto"/>
                <w:sz w:val="21"/>
                <w:szCs w:val="21"/>
              </w:rPr>
            </w:pPr>
          </w:p>
        </w:tc>
        <w:tc>
          <w:tcPr>
            <w:tcW w:w="2501" w:type="dxa"/>
          </w:tcPr>
          <w:p>
            <w:pPr>
              <w:kinsoku/>
              <w:overflowPunct/>
              <w:topLinePunct w:val="0"/>
              <w:bidi w:val="0"/>
              <w:spacing w:line="360" w:lineRule="auto"/>
              <w:outlineLvl w:val="9"/>
              <w:rPr>
                <w:rFonts w:hAnsi="宋体"/>
                <w:color w:val="auto"/>
                <w:sz w:val="21"/>
                <w:szCs w:val="21"/>
              </w:rPr>
            </w:pPr>
          </w:p>
        </w:tc>
        <w:tc>
          <w:tcPr>
            <w:tcW w:w="1271" w:type="dxa"/>
          </w:tcPr>
          <w:p>
            <w:pPr>
              <w:kinsoku/>
              <w:overflowPunct/>
              <w:topLinePunct w:val="0"/>
              <w:bidi w:val="0"/>
              <w:spacing w:line="360" w:lineRule="auto"/>
              <w:outlineLvl w:val="9"/>
              <w:rPr>
                <w:rFonts w:hAnsi="宋体"/>
                <w:color w:val="auto"/>
                <w:sz w:val="21"/>
                <w:szCs w:val="21"/>
              </w:rPr>
            </w:pPr>
          </w:p>
        </w:tc>
        <w:tc>
          <w:tcPr>
            <w:tcW w:w="1260" w:type="dxa"/>
          </w:tcPr>
          <w:p>
            <w:pPr>
              <w:kinsoku/>
              <w:overflowPunct/>
              <w:topLinePunct w:val="0"/>
              <w:bidi w:val="0"/>
              <w:spacing w:line="360" w:lineRule="auto"/>
              <w:outlineLvl w:val="9"/>
              <w:rPr>
                <w:rFonts w:hAnsi="宋体"/>
                <w:color w:val="auto"/>
                <w:sz w:val="21"/>
                <w:szCs w:val="21"/>
              </w:rPr>
            </w:pPr>
          </w:p>
        </w:tc>
      </w:tr>
    </w:tbl>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outlineLvl w:val="9"/>
        <w:rPr>
          <w:rFonts w:hAnsi="宋体"/>
          <w:color w:val="auto"/>
          <w:sz w:val="21"/>
          <w:szCs w:val="21"/>
        </w:rPr>
      </w:pPr>
      <w:r>
        <w:rPr>
          <w:rFonts w:hint="eastAsia" w:hAnsi="宋体"/>
          <w:color w:val="auto"/>
          <w:sz w:val="21"/>
          <w:szCs w:val="21"/>
        </w:rPr>
        <w:t>注： 1</w:t>
      </w:r>
      <w:r>
        <w:rPr>
          <w:rFonts w:hint="eastAsia" w:hAnsi="宋体"/>
          <w:color w:val="auto"/>
          <w:sz w:val="21"/>
          <w:szCs w:val="21"/>
          <w:lang w:val="en-US" w:eastAsia="zh-CN"/>
        </w:rPr>
        <w:t>.</w:t>
      </w:r>
      <w:r>
        <w:rPr>
          <w:rFonts w:hint="eastAsia" w:hAnsi="宋体"/>
          <w:color w:val="auto"/>
          <w:sz w:val="21"/>
          <w:szCs w:val="21"/>
          <w:u w:val="single"/>
        </w:rPr>
        <w:t>本表可对应谈判文件《用户需求书》条目号逐项填写，不得有任何遗漏，否则视为不响应招标规格要求；或针对与谈判文件《用户需求书》条目号上有偏离款项填写相应的填写，并注明除填写的款项有偏离以外，其他款项均响应谈判文件的要求。</w:t>
      </w:r>
      <w:r>
        <w:rPr>
          <w:rFonts w:hint="eastAsia" w:hAnsi="宋体"/>
          <w:color w:val="auto"/>
          <w:sz w:val="21"/>
          <w:szCs w:val="21"/>
        </w:rPr>
        <w:t>2</w:t>
      </w:r>
      <w:r>
        <w:rPr>
          <w:rFonts w:hint="eastAsia" w:hAnsi="宋体"/>
          <w:color w:val="auto"/>
          <w:sz w:val="21"/>
          <w:szCs w:val="21"/>
          <w:lang w:val="en-US" w:eastAsia="zh-CN"/>
        </w:rPr>
        <w:t>.</w:t>
      </w:r>
      <w:r>
        <w:rPr>
          <w:rFonts w:hint="eastAsia" w:hAnsi="宋体"/>
          <w:color w:val="auto"/>
          <w:sz w:val="21"/>
          <w:szCs w:val="21"/>
        </w:rPr>
        <w:t>如有偏离，应在“偏离情况”栏内注明“有”，并在“说明”栏内予以说明；如无偏离，应在“偏离情况”栏内注明“无”。</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outlineLvl w:val="9"/>
        <w:rPr>
          <w:rFonts w:hAnsi="宋体"/>
          <w:color w:val="auto"/>
          <w:sz w:val="21"/>
          <w:szCs w:val="21"/>
        </w:rPr>
      </w:pPr>
    </w:p>
    <w:p>
      <w:pPr>
        <w:kinsoku/>
        <w:overflowPunct/>
        <w:topLinePunct w:val="0"/>
        <w:bidi w:val="0"/>
        <w:snapToGrid w:val="0"/>
        <w:spacing w:line="300" w:lineRule="auto"/>
        <w:outlineLvl w:val="9"/>
        <w:rPr>
          <w:rFonts w:hAnsi="宋体"/>
          <w:color w:val="auto"/>
          <w:sz w:val="21"/>
          <w:szCs w:val="21"/>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响应供应商法定代表人（或法定代表人授权代表）签名（签章）：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响应供应商名称（加盖法人公章）：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sectPr>
          <w:footerReference r:id="rId6" w:type="default"/>
          <w:pgSz w:w="11907" w:h="16840"/>
          <w:pgMar w:top="1440" w:right="1417" w:bottom="1440" w:left="1474" w:header="794" w:footer="437" w:gutter="0"/>
          <w:pgNumType w:fmt="decimal"/>
          <w:cols w:space="720" w:num="1"/>
          <w:docGrid w:linePitch="285" w:charSpace="0"/>
        </w:sectPr>
      </w:pPr>
    </w:p>
    <w:p>
      <w:pPr>
        <w:kinsoku/>
        <w:overflowPunct/>
        <w:topLinePunct w:val="0"/>
        <w:bidi w:val="0"/>
        <w:jc w:val="center"/>
        <w:outlineLvl w:val="9"/>
        <w:rPr>
          <w:rFonts w:hAnsi="宋体"/>
          <w:b/>
          <w:color w:val="auto"/>
          <w:sz w:val="28"/>
          <w:szCs w:val="28"/>
        </w:rPr>
      </w:pPr>
      <w:r>
        <w:rPr>
          <w:rFonts w:hint="eastAsia" w:hAnsi="宋体"/>
          <w:b/>
          <w:color w:val="auto"/>
          <w:sz w:val="28"/>
          <w:szCs w:val="28"/>
          <w:lang w:eastAsia="zh-CN"/>
        </w:rPr>
        <w:br w:type="textWrapping"/>
      </w:r>
      <w:r>
        <w:rPr>
          <w:rFonts w:hint="eastAsia" w:hAnsi="宋体"/>
          <w:b/>
          <w:color w:val="auto"/>
          <w:sz w:val="28"/>
          <w:szCs w:val="28"/>
          <w:lang w:eastAsia="zh-CN"/>
        </w:rPr>
        <w:t>第四节</w:t>
      </w:r>
      <w:r>
        <w:rPr>
          <w:rFonts w:hint="eastAsia" w:hAnsi="宋体"/>
          <w:b/>
          <w:color w:val="auto"/>
          <w:sz w:val="28"/>
          <w:szCs w:val="28"/>
          <w:lang w:val="en-US" w:eastAsia="zh-CN"/>
        </w:rPr>
        <w:t xml:space="preserve">  </w:t>
      </w:r>
      <w:r>
        <w:rPr>
          <w:rFonts w:hint="eastAsia" w:hAnsi="宋体"/>
          <w:b/>
          <w:color w:val="auto"/>
          <w:sz w:val="28"/>
          <w:szCs w:val="28"/>
        </w:rPr>
        <w:t>经济文件</w:t>
      </w:r>
      <w:bookmarkStart w:id="84" w:name="_Hlt10519799"/>
      <w:bookmarkEnd w:id="84"/>
      <w:bookmarkStart w:id="85" w:name="_Toc10548699"/>
      <w:r>
        <w:rPr>
          <w:rFonts w:hint="eastAsia" w:hAnsi="宋体"/>
          <w:b/>
          <w:color w:val="auto"/>
          <w:sz w:val="28"/>
          <w:szCs w:val="28"/>
        </w:rPr>
        <w:t>格式</w:t>
      </w:r>
      <w:bookmarkEnd w:id="82"/>
      <w:bookmarkEnd w:id="83"/>
      <w:bookmarkEnd w:id="85"/>
      <w:bookmarkStart w:id="86" w:name="_Hlt10456397"/>
      <w:bookmarkEnd w:id="86"/>
    </w:p>
    <w:p>
      <w:pPr>
        <w:kinsoku/>
        <w:overflowPunct/>
        <w:topLinePunct w:val="0"/>
        <w:bidi w:val="0"/>
        <w:spacing w:after="120" w:line="480" w:lineRule="exact"/>
        <w:outlineLvl w:val="9"/>
        <w:rPr>
          <w:rFonts w:hAnsi="宋体"/>
          <w:b/>
          <w:color w:val="auto"/>
          <w:sz w:val="21"/>
          <w:szCs w:val="20"/>
        </w:rPr>
      </w:pPr>
      <w:bookmarkStart w:id="87" w:name="_Toc382840862"/>
      <w:bookmarkStart w:id="88" w:name="_Toc382926914"/>
      <w:r>
        <w:rPr>
          <w:rFonts w:hint="eastAsia" w:hAnsi="宋体"/>
          <w:b/>
          <w:color w:val="auto"/>
          <w:sz w:val="21"/>
          <w:szCs w:val="20"/>
        </w:rPr>
        <w:t>附表4</w:t>
      </w:r>
      <w:r>
        <w:rPr>
          <w:rFonts w:hAnsi="宋体"/>
          <w:b/>
          <w:color w:val="auto"/>
          <w:sz w:val="21"/>
          <w:szCs w:val="20"/>
        </w:rPr>
        <w:t>.</w:t>
      </w:r>
      <w:r>
        <w:rPr>
          <w:rFonts w:hint="eastAsia" w:hAnsi="宋体"/>
          <w:b/>
          <w:color w:val="auto"/>
          <w:sz w:val="21"/>
          <w:szCs w:val="20"/>
        </w:rPr>
        <w:t>1  报价总表格式</w:t>
      </w:r>
      <w:bookmarkEnd w:id="87"/>
      <w:bookmarkEnd w:id="88"/>
    </w:p>
    <w:p>
      <w:pPr>
        <w:pStyle w:val="30"/>
        <w:kinsoku/>
        <w:overflowPunct/>
        <w:topLinePunct w:val="0"/>
        <w:bidi w:val="0"/>
        <w:spacing w:line="480" w:lineRule="exact"/>
        <w:jc w:val="center"/>
        <w:outlineLvl w:val="9"/>
        <w:rPr>
          <w:rFonts w:hAnsi="宋体"/>
          <w:b/>
          <w:color w:val="auto"/>
          <w:kern w:val="0"/>
          <w:sz w:val="28"/>
          <w:szCs w:val="28"/>
        </w:rPr>
      </w:pPr>
    </w:p>
    <w:p>
      <w:pPr>
        <w:jc w:val="center"/>
        <w:rPr>
          <w:rFonts w:hint="eastAsia" w:hAnsi="宋体"/>
          <w:b/>
          <w:color w:val="auto"/>
          <w:kern w:val="0"/>
          <w:sz w:val="28"/>
          <w:szCs w:val="28"/>
        </w:rPr>
      </w:pPr>
      <w:r>
        <w:rPr>
          <w:rFonts w:hint="eastAsia" w:hAnsi="宋体"/>
          <w:b/>
          <w:color w:val="auto"/>
          <w:kern w:val="0"/>
          <w:sz w:val="28"/>
          <w:szCs w:val="28"/>
        </w:rPr>
        <w:t>首轮报价总表</w:t>
      </w:r>
    </w:p>
    <w:p>
      <w:pPr>
        <w:pStyle w:val="30"/>
        <w:kinsoku/>
        <w:overflowPunct/>
        <w:topLinePunct w:val="0"/>
        <w:bidi w:val="0"/>
        <w:spacing w:line="480" w:lineRule="exact"/>
        <w:jc w:val="center"/>
        <w:outlineLvl w:val="9"/>
        <w:rPr>
          <w:rFonts w:hAnsi="宋体"/>
          <w:color w:val="auto"/>
          <w:sz w:val="24"/>
        </w:rPr>
      </w:pPr>
      <w:r>
        <w:rPr>
          <w:rFonts w:hint="eastAsia" w:hAnsi="宋体"/>
          <w:color w:val="auto"/>
        </w:rPr>
        <w:t>[货币单位：人民币元]</w:t>
      </w:r>
    </w:p>
    <w:p>
      <w:pPr>
        <w:ind w:firstLine="480"/>
        <w:rPr>
          <w:rFonts w:hint="eastAsia" w:hAnsi="宋体"/>
          <w:color w:val="auto"/>
          <w:lang w:eastAsia="zh-CN"/>
        </w:rPr>
      </w:pPr>
    </w:p>
    <w:p>
      <w:pPr>
        <w:ind w:firstLine="480"/>
        <w:rPr>
          <w:rFonts w:hint="eastAsia" w:hAnsi="宋体"/>
          <w:color w:val="auto"/>
          <w:lang w:eastAsia="zh-CN"/>
        </w:rPr>
      </w:pPr>
      <w:r>
        <w:rPr>
          <w:rFonts w:hint="eastAsia" w:hAnsi="宋体"/>
          <w:color w:val="auto"/>
          <w:lang w:eastAsia="zh-CN"/>
        </w:rPr>
        <w:t>项目名称：洗衣房洗涤用品采购项目（第二次）</w:t>
      </w:r>
    </w:p>
    <w:p>
      <w:pPr>
        <w:ind w:firstLine="480"/>
        <w:rPr>
          <w:rFonts w:hint="eastAsia" w:hAnsi="宋体"/>
          <w:color w:val="auto"/>
        </w:rPr>
      </w:pPr>
      <w:r>
        <w:rPr>
          <w:rFonts w:hint="eastAsia" w:hAnsi="宋体"/>
          <w:color w:val="auto"/>
          <w:lang w:eastAsia="zh-CN"/>
        </w:rPr>
        <w:t xml:space="preserve">项目编号：NFQYCG2023002       </w:t>
      </w:r>
      <w:r>
        <w:rPr>
          <w:rFonts w:hint="eastAsia" w:hAnsi="宋体"/>
          <w:color w:val="auto"/>
        </w:rPr>
        <w:t xml:space="preserve">  </w:t>
      </w:r>
    </w:p>
    <w:tbl>
      <w:tblPr>
        <w:tblStyle w:val="2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1"/>
        <w:gridCol w:w="2661"/>
        <w:gridCol w:w="1213"/>
        <w:gridCol w:w="1693"/>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675" w:type="dxa"/>
            <w:vMerge w:val="restart"/>
            <w:vAlign w:val="center"/>
          </w:tcPr>
          <w:p>
            <w:pPr>
              <w:pStyle w:val="30"/>
              <w:kinsoku/>
              <w:overflowPunct/>
              <w:topLinePunct w:val="0"/>
              <w:bidi w:val="0"/>
              <w:spacing w:line="300" w:lineRule="auto"/>
              <w:jc w:val="center"/>
              <w:outlineLvl w:val="9"/>
              <w:rPr>
                <w:rFonts w:hAnsi="宋体"/>
                <w:color w:val="auto"/>
                <w:kern w:val="0"/>
                <w:szCs w:val="21"/>
              </w:rPr>
            </w:pPr>
          </w:p>
          <w:p>
            <w:pPr>
              <w:pStyle w:val="30"/>
              <w:kinsoku/>
              <w:overflowPunct/>
              <w:topLinePunct w:val="0"/>
              <w:bidi w:val="0"/>
              <w:spacing w:line="300" w:lineRule="auto"/>
              <w:jc w:val="center"/>
              <w:outlineLvl w:val="9"/>
              <w:rPr>
                <w:rFonts w:hAnsi="宋体"/>
                <w:color w:val="auto"/>
                <w:kern w:val="0"/>
                <w:szCs w:val="21"/>
              </w:rPr>
            </w:pPr>
            <w:r>
              <w:rPr>
                <w:rFonts w:hint="eastAsia" w:hAnsi="宋体"/>
                <w:color w:val="auto"/>
                <w:kern w:val="0"/>
                <w:szCs w:val="21"/>
              </w:rPr>
              <w:t>投</w:t>
            </w:r>
          </w:p>
          <w:p>
            <w:pPr>
              <w:pStyle w:val="30"/>
              <w:kinsoku/>
              <w:overflowPunct/>
              <w:topLinePunct w:val="0"/>
              <w:bidi w:val="0"/>
              <w:spacing w:line="300" w:lineRule="auto"/>
              <w:jc w:val="center"/>
              <w:outlineLvl w:val="9"/>
              <w:rPr>
                <w:rFonts w:hAnsi="宋体"/>
                <w:color w:val="auto"/>
                <w:kern w:val="0"/>
                <w:szCs w:val="21"/>
              </w:rPr>
            </w:pPr>
            <w:r>
              <w:rPr>
                <w:rFonts w:hint="eastAsia" w:hAnsi="宋体"/>
                <w:color w:val="auto"/>
                <w:kern w:val="0"/>
                <w:szCs w:val="21"/>
              </w:rPr>
              <w:t>标</w:t>
            </w:r>
          </w:p>
          <w:p>
            <w:pPr>
              <w:pStyle w:val="30"/>
              <w:kinsoku/>
              <w:overflowPunct/>
              <w:topLinePunct w:val="0"/>
              <w:bidi w:val="0"/>
              <w:spacing w:line="300" w:lineRule="auto"/>
              <w:jc w:val="center"/>
              <w:outlineLvl w:val="9"/>
              <w:rPr>
                <w:rFonts w:hAnsi="宋体"/>
                <w:color w:val="auto"/>
                <w:kern w:val="0"/>
                <w:szCs w:val="21"/>
              </w:rPr>
            </w:pPr>
            <w:r>
              <w:rPr>
                <w:rFonts w:hint="eastAsia" w:hAnsi="宋体"/>
                <w:color w:val="auto"/>
                <w:kern w:val="0"/>
                <w:szCs w:val="21"/>
              </w:rPr>
              <w:t>分类</w:t>
            </w:r>
          </w:p>
          <w:p>
            <w:pPr>
              <w:pStyle w:val="30"/>
              <w:kinsoku/>
              <w:overflowPunct/>
              <w:topLinePunct w:val="0"/>
              <w:bidi w:val="0"/>
              <w:spacing w:line="300" w:lineRule="auto"/>
              <w:jc w:val="center"/>
              <w:outlineLvl w:val="9"/>
              <w:rPr>
                <w:rFonts w:hAnsi="宋体"/>
                <w:color w:val="auto"/>
                <w:kern w:val="0"/>
                <w:szCs w:val="21"/>
              </w:rPr>
            </w:pPr>
            <w:r>
              <w:rPr>
                <w:rFonts w:hint="eastAsia" w:hAnsi="宋体"/>
                <w:color w:val="auto"/>
                <w:kern w:val="0"/>
                <w:szCs w:val="21"/>
              </w:rPr>
              <w:t>报</w:t>
            </w:r>
          </w:p>
          <w:p>
            <w:pPr>
              <w:pStyle w:val="30"/>
              <w:kinsoku/>
              <w:overflowPunct/>
              <w:topLinePunct w:val="0"/>
              <w:bidi w:val="0"/>
              <w:spacing w:line="300" w:lineRule="auto"/>
              <w:jc w:val="center"/>
              <w:outlineLvl w:val="9"/>
              <w:rPr>
                <w:rFonts w:hAnsi="宋体"/>
                <w:color w:val="auto"/>
                <w:kern w:val="0"/>
                <w:szCs w:val="21"/>
              </w:rPr>
            </w:pPr>
            <w:r>
              <w:rPr>
                <w:rFonts w:hint="eastAsia" w:hAnsi="宋体"/>
                <w:color w:val="auto"/>
                <w:kern w:val="0"/>
                <w:szCs w:val="21"/>
              </w:rPr>
              <w:t>价</w:t>
            </w:r>
          </w:p>
        </w:tc>
        <w:tc>
          <w:tcPr>
            <w:tcW w:w="741" w:type="dxa"/>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rPr>
              <w:t>序号</w:t>
            </w:r>
          </w:p>
        </w:tc>
        <w:tc>
          <w:tcPr>
            <w:tcW w:w="2661" w:type="dxa"/>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rPr>
              <w:t>分类内容</w:t>
            </w:r>
          </w:p>
        </w:tc>
        <w:tc>
          <w:tcPr>
            <w:tcW w:w="1213" w:type="dxa"/>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rPr>
              <w:t>单位数量</w:t>
            </w:r>
          </w:p>
        </w:tc>
        <w:tc>
          <w:tcPr>
            <w:tcW w:w="1693" w:type="dxa"/>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rPr>
              <w:t>小写报价</w:t>
            </w:r>
          </w:p>
        </w:tc>
        <w:tc>
          <w:tcPr>
            <w:tcW w:w="2197" w:type="dxa"/>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rPr>
              <w:t>大写报价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2" w:hRule="atLeast"/>
        </w:trPr>
        <w:tc>
          <w:tcPr>
            <w:tcW w:w="675" w:type="dxa"/>
            <w:vMerge w:val="continue"/>
          </w:tcPr>
          <w:p>
            <w:pPr>
              <w:pStyle w:val="30"/>
              <w:kinsoku/>
              <w:overflowPunct/>
              <w:topLinePunct w:val="0"/>
              <w:bidi w:val="0"/>
              <w:spacing w:line="300" w:lineRule="auto"/>
              <w:outlineLvl w:val="9"/>
              <w:rPr>
                <w:rFonts w:hAnsi="宋体"/>
                <w:color w:val="auto"/>
                <w:kern w:val="0"/>
                <w:szCs w:val="21"/>
              </w:rPr>
            </w:pPr>
          </w:p>
        </w:tc>
        <w:tc>
          <w:tcPr>
            <w:tcW w:w="741" w:type="dxa"/>
            <w:tcBorders>
              <w:bottom w:val="single" w:color="auto" w:sz="4" w:space="0"/>
            </w:tcBorders>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rPr>
              <w:t>1</w:t>
            </w:r>
          </w:p>
        </w:tc>
        <w:tc>
          <w:tcPr>
            <w:tcW w:w="2661" w:type="dxa"/>
            <w:tcBorders>
              <w:bottom w:val="single" w:color="auto" w:sz="4" w:space="0"/>
            </w:tcBorders>
            <w:vAlign w:val="center"/>
          </w:tcPr>
          <w:p>
            <w:pPr>
              <w:widowControl/>
              <w:kinsoku/>
              <w:overflowPunct/>
              <w:topLinePunct w:val="0"/>
              <w:bidi w:val="0"/>
              <w:spacing w:line="320" w:lineRule="atLeast"/>
              <w:jc w:val="both"/>
              <w:textAlignment w:val="bottom"/>
              <w:outlineLvl w:val="9"/>
              <w:rPr>
                <w:rFonts w:hAnsi="宋体"/>
                <w:color w:val="auto"/>
                <w:sz w:val="21"/>
                <w:szCs w:val="21"/>
              </w:rPr>
            </w:pPr>
          </w:p>
        </w:tc>
        <w:tc>
          <w:tcPr>
            <w:tcW w:w="1213" w:type="dxa"/>
            <w:tcBorders>
              <w:bottom w:val="single" w:color="auto" w:sz="4" w:space="0"/>
            </w:tcBorders>
            <w:vAlign w:val="center"/>
          </w:tcPr>
          <w:p>
            <w:pPr>
              <w:kinsoku/>
              <w:overflowPunct/>
              <w:topLinePunct w:val="0"/>
              <w:bidi w:val="0"/>
              <w:jc w:val="center"/>
              <w:outlineLvl w:val="9"/>
              <w:rPr>
                <w:rFonts w:hAnsi="宋体"/>
                <w:color w:val="auto"/>
                <w:sz w:val="21"/>
                <w:szCs w:val="21"/>
              </w:rPr>
            </w:pPr>
          </w:p>
        </w:tc>
        <w:tc>
          <w:tcPr>
            <w:tcW w:w="1693" w:type="dxa"/>
            <w:tcBorders>
              <w:bottom w:val="single" w:color="auto" w:sz="4" w:space="0"/>
            </w:tcBorders>
            <w:vAlign w:val="center"/>
          </w:tcPr>
          <w:p>
            <w:pPr>
              <w:pStyle w:val="30"/>
              <w:kinsoku/>
              <w:overflowPunct/>
              <w:topLinePunct w:val="0"/>
              <w:bidi w:val="0"/>
              <w:outlineLvl w:val="9"/>
              <w:rPr>
                <w:rFonts w:hAnsi="宋体"/>
                <w:color w:val="auto"/>
                <w:kern w:val="0"/>
                <w:szCs w:val="21"/>
              </w:rPr>
            </w:pPr>
          </w:p>
        </w:tc>
        <w:tc>
          <w:tcPr>
            <w:tcW w:w="2197" w:type="dxa"/>
            <w:tcBorders>
              <w:bottom w:val="single" w:color="auto" w:sz="4" w:space="0"/>
            </w:tcBorders>
            <w:vAlign w:val="center"/>
          </w:tcPr>
          <w:p>
            <w:pPr>
              <w:pStyle w:val="30"/>
              <w:kinsoku/>
              <w:overflowPunct/>
              <w:topLinePunct w:val="0"/>
              <w:bidi w:val="0"/>
              <w:outlineLvl w:val="9"/>
              <w:rPr>
                <w:rFonts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8" w:hRule="atLeast"/>
        </w:trPr>
        <w:tc>
          <w:tcPr>
            <w:tcW w:w="5290" w:type="dxa"/>
            <w:gridSpan w:val="4"/>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lang w:eastAsia="zh-CN"/>
              </w:rPr>
              <w:t>响应</w:t>
            </w:r>
            <w:r>
              <w:rPr>
                <w:rFonts w:hint="eastAsia" w:hAnsi="宋体"/>
                <w:color w:val="auto"/>
                <w:kern w:val="0"/>
                <w:szCs w:val="21"/>
              </w:rPr>
              <w:t>报价总计</w:t>
            </w:r>
          </w:p>
        </w:tc>
        <w:tc>
          <w:tcPr>
            <w:tcW w:w="3890" w:type="dxa"/>
            <w:gridSpan w:val="2"/>
          </w:tcPr>
          <w:p>
            <w:pPr>
              <w:pStyle w:val="30"/>
              <w:kinsoku/>
              <w:overflowPunct/>
              <w:topLinePunct w:val="0"/>
              <w:bidi w:val="0"/>
              <w:outlineLvl w:val="9"/>
              <w:rPr>
                <w:rFonts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5290" w:type="dxa"/>
            <w:gridSpan w:val="4"/>
            <w:vAlign w:val="center"/>
          </w:tcPr>
          <w:p>
            <w:pPr>
              <w:pStyle w:val="30"/>
              <w:kinsoku/>
              <w:overflowPunct/>
              <w:topLinePunct w:val="0"/>
              <w:bidi w:val="0"/>
              <w:jc w:val="center"/>
              <w:outlineLvl w:val="9"/>
              <w:rPr>
                <w:rFonts w:hAnsi="宋体"/>
                <w:color w:val="auto"/>
                <w:kern w:val="0"/>
                <w:szCs w:val="21"/>
              </w:rPr>
            </w:pPr>
            <w:r>
              <w:rPr>
                <w:rFonts w:hint="eastAsia" w:hAnsi="宋体"/>
                <w:color w:val="auto"/>
                <w:kern w:val="0"/>
                <w:szCs w:val="21"/>
              </w:rPr>
              <w:t>其他说明</w:t>
            </w:r>
          </w:p>
        </w:tc>
        <w:tc>
          <w:tcPr>
            <w:tcW w:w="3890" w:type="dxa"/>
            <w:gridSpan w:val="2"/>
          </w:tcPr>
          <w:p>
            <w:pPr>
              <w:pStyle w:val="30"/>
              <w:kinsoku/>
              <w:overflowPunct/>
              <w:topLinePunct w:val="0"/>
              <w:bidi w:val="0"/>
              <w:outlineLvl w:val="9"/>
              <w:rPr>
                <w:rFonts w:hAnsi="宋体"/>
                <w:color w:val="auto"/>
                <w:kern w:val="0"/>
                <w:szCs w:val="21"/>
              </w:rPr>
            </w:pPr>
          </w:p>
        </w:tc>
      </w:tr>
    </w:tbl>
    <w:p>
      <w:pPr>
        <w:kinsoku/>
        <w:overflowPunct/>
        <w:topLinePunct w:val="0"/>
        <w:bidi w:val="0"/>
        <w:snapToGrid w:val="0"/>
        <w:spacing w:line="300" w:lineRule="auto"/>
        <w:outlineLvl w:val="9"/>
        <w:rPr>
          <w:rFonts w:hAnsi="宋体"/>
          <w:bCs/>
          <w:color w:val="auto"/>
          <w:kern w:val="2"/>
          <w:sz w:val="21"/>
          <w:szCs w:val="21"/>
        </w:rPr>
      </w:pP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outlineLvl w:val="9"/>
        <w:rPr>
          <w:rFonts w:hint="eastAsia" w:hAnsi="宋体"/>
          <w:color w:val="auto"/>
          <w:sz w:val="24"/>
          <w:szCs w:val="24"/>
        </w:rPr>
      </w:pPr>
      <w:r>
        <w:rPr>
          <w:rFonts w:hint="eastAsia" w:hAnsi="宋体"/>
          <w:color w:val="auto"/>
          <w:sz w:val="24"/>
          <w:szCs w:val="24"/>
        </w:rPr>
        <w:t>注：1.此表的总计指所有需采购人支付的本次</w:t>
      </w:r>
      <w:r>
        <w:rPr>
          <w:rFonts w:hint="eastAsia" w:hAnsi="宋体"/>
          <w:color w:val="auto"/>
          <w:sz w:val="24"/>
          <w:szCs w:val="24"/>
          <w:lang w:eastAsia="zh-CN"/>
        </w:rPr>
        <w:t>采购</w:t>
      </w:r>
      <w:r>
        <w:rPr>
          <w:rFonts w:hint="eastAsia" w:hAnsi="宋体"/>
          <w:color w:val="auto"/>
          <w:sz w:val="24"/>
          <w:szCs w:val="24"/>
        </w:rPr>
        <w:t>标的物的金额总数即投标</w:t>
      </w:r>
      <w:r>
        <w:rPr>
          <w:rFonts w:hint="eastAsia" w:hAnsi="宋体"/>
          <w:color w:val="auto"/>
          <w:sz w:val="24"/>
          <w:szCs w:val="24"/>
          <w:lang w:eastAsia="zh-CN"/>
        </w:rPr>
        <w:t>响应</w:t>
      </w:r>
      <w:r>
        <w:rPr>
          <w:rFonts w:hint="eastAsia" w:hAnsi="宋体"/>
          <w:color w:val="auto"/>
          <w:sz w:val="24"/>
          <w:szCs w:val="24"/>
        </w:rPr>
        <w:t>总报价</w:t>
      </w:r>
      <w:r>
        <w:rPr>
          <w:rFonts w:hint="eastAsia" w:hAnsi="宋体"/>
          <w:color w:val="auto"/>
          <w:sz w:val="24"/>
          <w:szCs w:val="24"/>
          <w:lang w:eastAsia="zh-CN"/>
        </w:rPr>
        <w:t>；</w:t>
      </w:r>
      <w:r>
        <w:rPr>
          <w:rFonts w:hint="eastAsia" w:hAnsi="宋体"/>
          <w:color w:val="auto"/>
          <w:sz w:val="24"/>
          <w:szCs w:val="24"/>
        </w:rPr>
        <w:t xml:space="preserve"> 2.当谈判小组要求</w:t>
      </w:r>
      <w:r>
        <w:rPr>
          <w:rFonts w:hint="eastAsia" w:hAnsi="宋体"/>
          <w:color w:val="auto"/>
          <w:sz w:val="24"/>
          <w:szCs w:val="24"/>
          <w:lang w:eastAsia="zh-CN"/>
        </w:rPr>
        <w:t>响应供应商</w:t>
      </w:r>
      <w:r>
        <w:rPr>
          <w:rFonts w:hint="eastAsia" w:hAnsi="宋体"/>
          <w:color w:val="auto"/>
          <w:sz w:val="24"/>
          <w:szCs w:val="24"/>
        </w:rPr>
        <w:t>进行二次报价时，</w:t>
      </w:r>
      <w:r>
        <w:rPr>
          <w:rFonts w:hint="eastAsia" w:hAnsi="宋体"/>
          <w:color w:val="auto"/>
          <w:sz w:val="24"/>
          <w:szCs w:val="24"/>
          <w:lang w:eastAsia="zh-CN"/>
        </w:rPr>
        <w:t>响应供应商</w:t>
      </w:r>
      <w:r>
        <w:rPr>
          <w:rFonts w:hint="eastAsia" w:hAnsi="宋体"/>
          <w:color w:val="auto"/>
          <w:sz w:val="24"/>
          <w:szCs w:val="24"/>
        </w:rPr>
        <w:t>在采购代理机构提供的二次报价表上填报报价总价，并列明发生金额变动的分项内容</w:t>
      </w:r>
      <w:r>
        <w:rPr>
          <w:rFonts w:hint="eastAsia" w:hAnsi="宋体"/>
          <w:color w:val="auto"/>
          <w:sz w:val="24"/>
          <w:szCs w:val="24"/>
          <w:lang w:eastAsia="zh-CN"/>
        </w:rPr>
        <w:t>；</w:t>
      </w:r>
      <w:r>
        <w:rPr>
          <w:rFonts w:hint="eastAsia" w:hAnsi="宋体"/>
          <w:color w:val="auto"/>
          <w:sz w:val="24"/>
          <w:szCs w:val="24"/>
          <w:lang w:val="en-US" w:eastAsia="zh-CN"/>
        </w:rPr>
        <w:t>3.</w:t>
      </w:r>
      <w:r>
        <w:rPr>
          <w:rFonts w:hint="eastAsia" w:hAnsi="宋体"/>
          <w:color w:val="auto"/>
          <w:sz w:val="24"/>
          <w:szCs w:val="24"/>
          <w:lang w:eastAsia="zh-CN"/>
        </w:rPr>
        <w:t>未专门列明分项报价的调整变动说明，则该</w:t>
      </w:r>
      <w:r>
        <w:rPr>
          <w:rFonts w:hint="eastAsia" w:hAnsi="宋体"/>
          <w:color w:val="auto"/>
          <w:sz w:val="24"/>
          <w:szCs w:val="24"/>
        </w:rPr>
        <w:t>分项报价按首次分项报价*（最终总报价/首次总报价）相应调整</w:t>
      </w:r>
      <w:r>
        <w:rPr>
          <w:rFonts w:hint="eastAsia" w:hAnsi="宋体"/>
          <w:color w:val="auto"/>
          <w:sz w:val="24"/>
          <w:szCs w:val="24"/>
          <w:lang w:eastAsia="zh-CN"/>
        </w:rPr>
        <w:t>；</w:t>
      </w:r>
      <w:r>
        <w:rPr>
          <w:rFonts w:hint="eastAsia" w:hAnsi="宋体"/>
          <w:color w:val="auto"/>
          <w:sz w:val="24"/>
          <w:szCs w:val="24"/>
          <w:lang w:val="en-US" w:eastAsia="zh-CN"/>
        </w:rPr>
        <w:t>4</w:t>
      </w:r>
      <w:r>
        <w:rPr>
          <w:rFonts w:hint="eastAsia" w:hAnsi="宋体"/>
          <w:color w:val="auto"/>
          <w:sz w:val="24"/>
          <w:szCs w:val="24"/>
        </w:rPr>
        <w:t>.本表一式二份，一份随报价信封一起提交，一份编入</w:t>
      </w:r>
      <w:r>
        <w:rPr>
          <w:rFonts w:hint="eastAsia" w:hAnsi="宋体"/>
          <w:color w:val="auto"/>
          <w:sz w:val="24"/>
          <w:szCs w:val="24"/>
          <w:lang w:eastAsia="zh-CN"/>
        </w:rPr>
        <w:t>响应文件</w:t>
      </w:r>
      <w:r>
        <w:rPr>
          <w:rFonts w:hint="eastAsia" w:hAnsi="宋体"/>
          <w:color w:val="auto"/>
          <w:sz w:val="24"/>
          <w:szCs w:val="24"/>
        </w:rPr>
        <w:t>（经济部分）。</w:t>
      </w:r>
    </w:p>
    <w:p>
      <w:pPr>
        <w:pStyle w:val="15"/>
        <w:kinsoku/>
        <w:overflowPunct/>
        <w:topLinePunct w:val="0"/>
        <w:bidi w:val="0"/>
        <w:outlineLvl w:val="9"/>
        <w:rPr>
          <w:color w:val="auto"/>
        </w:rPr>
      </w:pPr>
    </w:p>
    <w:p>
      <w:pPr>
        <w:kinsoku/>
        <w:overflowPunct/>
        <w:topLinePunct w:val="0"/>
        <w:bidi w:val="0"/>
        <w:snapToGrid w:val="0"/>
        <w:spacing w:line="300" w:lineRule="auto"/>
        <w:outlineLvl w:val="9"/>
        <w:rPr>
          <w:rFonts w:hAnsi="宋体"/>
          <w:bCs/>
          <w:color w:val="auto"/>
          <w:kern w:val="2"/>
          <w:sz w:val="21"/>
          <w:szCs w:val="21"/>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p>
    <w:p>
      <w:pPr>
        <w:pStyle w:val="30"/>
        <w:kinsoku/>
        <w:overflowPunct/>
        <w:topLinePunct w:val="0"/>
        <w:bidi w:val="0"/>
        <w:spacing w:line="480" w:lineRule="exact"/>
        <w:outlineLvl w:val="9"/>
        <w:rPr>
          <w:rFonts w:hAnsi="宋体"/>
          <w:bCs/>
          <w:color w:val="auto"/>
          <w:szCs w:val="21"/>
        </w:rPr>
      </w:pPr>
    </w:p>
    <w:p>
      <w:pPr>
        <w:pStyle w:val="30"/>
        <w:kinsoku/>
        <w:overflowPunct/>
        <w:topLinePunct w:val="0"/>
        <w:bidi w:val="0"/>
        <w:spacing w:line="480" w:lineRule="exact"/>
        <w:outlineLvl w:val="9"/>
        <w:rPr>
          <w:rFonts w:hAnsi="宋体"/>
          <w:bCs/>
          <w:color w:val="auto"/>
          <w:szCs w:val="21"/>
        </w:rPr>
      </w:pPr>
    </w:p>
    <w:p>
      <w:pPr>
        <w:pStyle w:val="30"/>
        <w:kinsoku/>
        <w:overflowPunct/>
        <w:topLinePunct w:val="0"/>
        <w:bidi w:val="0"/>
        <w:spacing w:line="480" w:lineRule="exact"/>
        <w:outlineLvl w:val="9"/>
        <w:rPr>
          <w:rFonts w:hAnsi="宋体"/>
          <w:bCs/>
          <w:color w:val="auto"/>
          <w:szCs w:val="21"/>
        </w:rPr>
      </w:pPr>
    </w:p>
    <w:p>
      <w:pPr>
        <w:kinsoku/>
        <w:overflowPunct/>
        <w:topLinePunct w:val="0"/>
        <w:bidi w:val="0"/>
        <w:spacing w:after="120" w:line="480" w:lineRule="exact"/>
        <w:outlineLvl w:val="9"/>
        <w:rPr>
          <w:rFonts w:hAnsi="宋体"/>
          <w:b/>
          <w:color w:val="auto"/>
          <w:sz w:val="21"/>
          <w:szCs w:val="20"/>
        </w:rPr>
      </w:pPr>
      <w:bookmarkStart w:id="89" w:name="_Toc382840863"/>
      <w:bookmarkStart w:id="90" w:name="_Toc382926915"/>
      <w:r>
        <w:rPr>
          <w:rFonts w:hint="eastAsia" w:hAnsi="宋体"/>
          <w:b/>
          <w:color w:val="auto"/>
          <w:sz w:val="21"/>
          <w:szCs w:val="20"/>
        </w:rPr>
        <w:br w:type="page"/>
      </w:r>
      <w:r>
        <w:rPr>
          <w:rFonts w:hint="eastAsia" w:hAnsi="宋体"/>
          <w:b/>
          <w:color w:val="auto"/>
          <w:sz w:val="21"/>
          <w:szCs w:val="20"/>
        </w:rPr>
        <w:t>附表4</w:t>
      </w:r>
      <w:r>
        <w:rPr>
          <w:rFonts w:hAnsi="宋体"/>
          <w:b/>
          <w:color w:val="auto"/>
          <w:sz w:val="21"/>
          <w:szCs w:val="20"/>
        </w:rPr>
        <w:t>.</w:t>
      </w:r>
      <w:r>
        <w:rPr>
          <w:rFonts w:hint="eastAsia" w:hAnsi="宋体"/>
          <w:b/>
          <w:color w:val="auto"/>
          <w:sz w:val="21"/>
          <w:szCs w:val="20"/>
        </w:rPr>
        <w:t>2  分类报价明细表格式</w:t>
      </w:r>
      <w:bookmarkEnd w:id="89"/>
      <w:bookmarkEnd w:id="90"/>
    </w:p>
    <w:p>
      <w:pPr>
        <w:pStyle w:val="30"/>
        <w:kinsoku/>
        <w:overflowPunct/>
        <w:topLinePunct w:val="0"/>
        <w:bidi w:val="0"/>
        <w:spacing w:line="480" w:lineRule="exact"/>
        <w:jc w:val="center"/>
        <w:outlineLvl w:val="9"/>
        <w:rPr>
          <w:rFonts w:hAnsi="宋体"/>
          <w:b/>
          <w:color w:val="auto"/>
          <w:kern w:val="0"/>
          <w:sz w:val="32"/>
          <w:szCs w:val="32"/>
        </w:rPr>
      </w:pPr>
    </w:p>
    <w:p>
      <w:pPr>
        <w:pStyle w:val="30"/>
        <w:kinsoku/>
        <w:overflowPunct/>
        <w:topLinePunct w:val="0"/>
        <w:bidi w:val="0"/>
        <w:spacing w:line="360" w:lineRule="auto"/>
        <w:jc w:val="center"/>
        <w:outlineLvl w:val="9"/>
        <w:rPr>
          <w:rFonts w:hAnsi="宋体"/>
          <w:b/>
          <w:color w:val="auto"/>
          <w:sz w:val="28"/>
        </w:rPr>
      </w:pPr>
      <w:r>
        <w:rPr>
          <w:rFonts w:hint="eastAsia" w:hAnsi="宋体"/>
          <w:b/>
          <w:color w:val="auto"/>
          <w:sz w:val="28"/>
        </w:rPr>
        <w:t>分类报价明细表</w:t>
      </w:r>
    </w:p>
    <w:p>
      <w:pPr>
        <w:ind w:firstLine="480"/>
        <w:rPr>
          <w:rFonts w:hint="eastAsia" w:hAnsi="宋体"/>
          <w:color w:val="auto"/>
        </w:rPr>
      </w:pPr>
      <w:r>
        <w:rPr>
          <w:rFonts w:hint="eastAsia" w:hAnsi="宋体"/>
          <w:color w:val="auto"/>
        </w:rPr>
        <w:t>项目名称：</w:t>
      </w:r>
      <w:r>
        <w:rPr>
          <w:rFonts w:hint="eastAsia" w:hAnsi="宋体"/>
          <w:color w:val="auto"/>
          <w:lang w:eastAsia="zh-CN"/>
        </w:rPr>
        <w:t>洗衣房洗涤用品采购项目（第二次）</w:t>
      </w:r>
    </w:p>
    <w:p>
      <w:pPr>
        <w:ind w:firstLine="480"/>
        <w:rPr>
          <w:color w:val="auto"/>
        </w:rPr>
      </w:pPr>
      <w:r>
        <w:rPr>
          <w:rFonts w:hint="eastAsia" w:hAnsi="宋体"/>
          <w:color w:val="auto"/>
        </w:rPr>
        <w:t>项目编号：</w:t>
      </w:r>
      <w:r>
        <w:rPr>
          <w:rFonts w:hint="eastAsia" w:hAnsi="宋体"/>
          <w:color w:val="auto"/>
          <w:lang w:eastAsia="zh-CN"/>
        </w:rPr>
        <w:t>NFQYCG2023002</w:t>
      </w:r>
      <w:r>
        <w:rPr>
          <w:rFonts w:hint="eastAsia" w:hAnsi="宋体"/>
          <w:color w:val="auto"/>
        </w:rPr>
        <w:t xml:space="preserve"> </w:t>
      </w:r>
    </w:p>
    <w:tbl>
      <w:tblPr>
        <w:tblStyle w:val="21"/>
        <w:tblW w:w="8075" w:type="dxa"/>
        <w:jc w:val="center"/>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82"/>
        <w:gridCol w:w="962"/>
        <w:gridCol w:w="749"/>
        <w:gridCol w:w="831"/>
        <w:gridCol w:w="831"/>
        <w:gridCol w:w="1443"/>
        <w:gridCol w:w="810"/>
        <w:gridCol w:w="750"/>
        <w:gridCol w:w="91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rPr>
          <w:jc w:val="center"/>
        </w:trPr>
        <w:tc>
          <w:tcPr>
            <w:tcW w:w="782" w:type="dxa"/>
          </w:tcPr>
          <w:p>
            <w:pPr>
              <w:rPr>
                <w:color w:val="auto"/>
              </w:rPr>
            </w:pPr>
            <w:r>
              <w:rPr>
                <w:color w:val="auto"/>
              </w:rPr>
              <w:t>序号</w:t>
            </w:r>
          </w:p>
        </w:tc>
        <w:tc>
          <w:tcPr>
            <w:tcW w:w="962" w:type="dxa"/>
          </w:tcPr>
          <w:p>
            <w:pPr>
              <w:rPr>
                <w:color w:val="auto"/>
              </w:rPr>
            </w:pPr>
            <w:r>
              <w:rPr>
                <w:color w:val="auto"/>
              </w:rPr>
              <w:t>货物名称</w:t>
            </w:r>
          </w:p>
        </w:tc>
        <w:tc>
          <w:tcPr>
            <w:tcW w:w="749" w:type="dxa"/>
          </w:tcPr>
          <w:p>
            <w:pPr>
              <w:rPr>
                <w:color w:val="auto"/>
              </w:rPr>
            </w:pPr>
            <w:r>
              <w:rPr>
                <w:color w:val="auto"/>
              </w:rPr>
              <w:t>规格型号</w:t>
            </w:r>
          </w:p>
        </w:tc>
        <w:tc>
          <w:tcPr>
            <w:tcW w:w="831" w:type="dxa"/>
          </w:tcPr>
          <w:p>
            <w:pPr>
              <w:rPr>
                <w:color w:val="auto"/>
              </w:rPr>
            </w:pPr>
            <w:r>
              <w:rPr>
                <w:color w:val="auto"/>
              </w:rPr>
              <w:t>品牌</w:t>
            </w:r>
          </w:p>
        </w:tc>
        <w:tc>
          <w:tcPr>
            <w:tcW w:w="831" w:type="dxa"/>
          </w:tcPr>
          <w:p>
            <w:pPr>
              <w:rPr>
                <w:color w:val="auto"/>
              </w:rPr>
            </w:pPr>
            <w:r>
              <w:rPr>
                <w:color w:val="auto"/>
              </w:rPr>
              <w:t>产地</w:t>
            </w:r>
          </w:p>
        </w:tc>
        <w:tc>
          <w:tcPr>
            <w:tcW w:w="1443" w:type="dxa"/>
          </w:tcPr>
          <w:p>
            <w:pPr>
              <w:rPr>
                <w:color w:val="auto"/>
              </w:rPr>
            </w:pPr>
            <w:r>
              <w:rPr>
                <w:color w:val="auto"/>
              </w:rPr>
              <w:t>制造商名称</w:t>
            </w:r>
          </w:p>
        </w:tc>
        <w:tc>
          <w:tcPr>
            <w:tcW w:w="810" w:type="dxa"/>
          </w:tcPr>
          <w:p>
            <w:pPr>
              <w:rPr>
                <w:color w:val="auto"/>
              </w:rPr>
            </w:pPr>
            <w:r>
              <w:rPr>
                <w:color w:val="auto"/>
              </w:rPr>
              <w:t>单价</w:t>
            </w:r>
          </w:p>
        </w:tc>
        <w:tc>
          <w:tcPr>
            <w:tcW w:w="750" w:type="dxa"/>
          </w:tcPr>
          <w:p>
            <w:pPr>
              <w:rPr>
                <w:color w:val="auto"/>
              </w:rPr>
            </w:pPr>
            <w:r>
              <w:rPr>
                <w:rFonts w:hint="eastAsia"/>
                <w:color w:val="auto"/>
                <w:lang w:val="en-US" w:eastAsia="zh-CN"/>
              </w:rPr>
              <w:t>预计</w:t>
            </w:r>
            <w:r>
              <w:rPr>
                <w:color w:val="auto"/>
              </w:rPr>
              <w:t>数量</w:t>
            </w:r>
          </w:p>
        </w:tc>
        <w:tc>
          <w:tcPr>
            <w:tcW w:w="917" w:type="dxa"/>
          </w:tcPr>
          <w:p>
            <w:pPr>
              <w:rPr>
                <w:color w:val="auto"/>
              </w:rPr>
            </w:pPr>
            <w:r>
              <w:rPr>
                <w:color w:val="auto"/>
              </w:rPr>
              <w:t>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536" w:hRule="atLeast"/>
          <w:jc w:val="center"/>
        </w:trPr>
        <w:tc>
          <w:tcPr>
            <w:tcW w:w="782" w:type="dxa"/>
          </w:tcPr>
          <w:p>
            <w:pPr>
              <w:rPr>
                <w:rFonts w:hint="eastAsia" w:eastAsia="宋体"/>
                <w:color w:val="auto"/>
                <w:lang w:val="en-US" w:eastAsia="zh-CN"/>
              </w:rPr>
            </w:pPr>
            <w:r>
              <w:rPr>
                <w:rFonts w:hint="eastAsia"/>
                <w:color w:val="auto"/>
                <w:lang w:val="en-US" w:eastAsia="zh-CN"/>
              </w:rPr>
              <w:t>1</w:t>
            </w:r>
          </w:p>
        </w:tc>
        <w:tc>
          <w:tcPr>
            <w:tcW w:w="96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color w:val="auto"/>
              </w:rPr>
            </w:pPr>
            <w:r>
              <w:rPr>
                <w:rFonts w:hint="eastAsia"/>
                <w:b/>
                <w:bCs/>
                <w:color w:val="auto"/>
                <w:sz w:val="24"/>
                <w:szCs w:val="24"/>
                <w:vertAlign w:val="baseline"/>
                <w:lang w:val="en-US" w:eastAsia="zh-CN"/>
              </w:rPr>
              <w:t>漂白消毒剂</w:t>
            </w:r>
          </w:p>
        </w:tc>
        <w:tc>
          <w:tcPr>
            <w:tcW w:w="749" w:type="dxa"/>
          </w:tcPr>
          <w:p>
            <w:pPr>
              <w:rPr>
                <w:color w:val="auto"/>
              </w:rPr>
            </w:pPr>
          </w:p>
        </w:tc>
        <w:tc>
          <w:tcPr>
            <w:tcW w:w="831" w:type="dxa"/>
          </w:tcPr>
          <w:p>
            <w:pPr>
              <w:rPr>
                <w:color w:val="auto"/>
              </w:rPr>
            </w:pPr>
          </w:p>
        </w:tc>
        <w:tc>
          <w:tcPr>
            <w:tcW w:w="831" w:type="dxa"/>
          </w:tcPr>
          <w:p>
            <w:pPr>
              <w:rPr>
                <w:color w:val="auto"/>
              </w:rPr>
            </w:pPr>
          </w:p>
        </w:tc>
        <w:tc>
          <w:tcPr>
            <w:tcW w:w="1443" w:type="dxa"/>
          </w:tcPr>
          <w:p>
            <w:pPr>
              <w:rPr>
                <w:color w:val="auto"/>
              </w:rPr>
            </w:pPr>
          </w:p>
        </w:tc>
        <w:tc>
          <w:tcPr>
            <w:tcW w:w="810" w:type="dxa"/>
          </w:tcPr>
          <w:p>
            <w:pPr>
              <w:rPr>
                <w:color w:val="auto"/>
              </w:rPr>
            </w:pPr>
          </w:p>
        </w:tc>
        <w:tc>
          <w:tcPr>
            <w:tcW w:w="750" w:type="dxa"/>
          </w:tcPr>
          <w:p>
            <w:pPr>
              <w:rPr>
                <w:color w:val="auto"/>
              </w:rPr>
            </w:pPr>
          </w:p>
        </w:tc>
        <w:tc>
          <w:tcPr>
            <w:tcW w:w="917"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536" w:hRule="atLeast"/>
          <w:jc w:val="center"/>
        </w:trPr>
        <w:tc>
          <w:tcPr>
            <w:tcW w:w="782" w:type="dxa"/>
          </w:tcPr>
          <w:p>
            <w:pPr>
              <w:rPr>
                <w:rFonts w:hint="eastAsia" w:eastAsia="宋体"/>
                <w:color w:val="auto"/>
                <w:lang w:val="en-US" w:eastAsia="zh-CN"/>
              </w:rPr>
            </w:pPr>
            <w:r>
              <w:rPr>
                <w:rFonts w:hint="eastAsia"/>
                <w:color w:val="auto"/>
                <w:lang w:val="en-US" w:eastAsia="zh-CN"/>
              </w:rPr>
              <w:t>2</w:t>
            </w:r>
          </w:p>
        </w:tc>
        <w:tc>
          <w:tcPr>
            <w:tcW w:w="96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color w:val="auto"/>
              </w:rPr>
            </w:pPr>
            <w:r>
              <w:rPr>
                <w:rFonts w:hint="eastAsia"/>
                <w:b/>
                <w:bCs/>
                <w:color w:val="auto"/>
                <w:sz w:val="24"/>
                <w:szCs w:val="24"/>
                <w:vertAlign w:val="baseline"/>
                <w:lang w:val="en-US" w:eastAsia="zh-CN"/>
              </w:rPr>
              <w:t>洗衣液</w:t>
            </w:r>
          </w:p>
        </w:tc>
        <w:tc>
          <w:tcPr>
            <w:tcW w:w="749" w:type="dxa"/>
          </w:tcPr>
          <w:p>
            <w:pPr>
              <w:rPr>
                <w:color w:val="auto"/>
              </w:rPr>
            </w:pPr>
          </w:p>
        </w:tc>
        <w:tc>
          <w:tcPr>
            <w:tcW w:w="831" w:type="dxa"/>
          </w:tcPr>
          <w:p>
            <w:pPr>
              <w:rPr>
                <w:color w:val="auto"/>
              </w:rPr>
            </w:pPr>
          </w:p>
        </w:tc>
        <w:tc>
          <w:tcPr>
            <w:tcW w:w="831" w:type="dxa"/>
          </w:tcPr>
          <w:p>
            <w:pPr>
              <w:rPr>
                <w:color w:val="auto"/>
              </w:rPr>
            </w:pPr>
          </w:p>
        </w:tc>
        <w:tc>
          <w:tcPr>
            <w:tcW w:w="1443" w:type="dxa"/>
          </w:tcPr>
          <w:p>
            <w:pPr>
              <w:rPr>
                <w:color w:val="auto"/>
              </w:rPr>
            </w:pPr>
          </w:p>
        </w:tc>
        <w:tc>
          <w:tcPr>
            <w:tcW w:w="810" w:type="dxa"/>
          </w:tcPr>
          <w:p>
            <w:pPr>
              <w:rPr>
                <w:color w:val="auto"/>
              </w:rPr>
            </w:pPr>
          </w:p>
        </w:tc>
        <w:tc>
          <w:tcPr>
            <w:tcW w:w="750" w:type="dxa"/>
          </w:tcPr>
          <w:p>
            <w:pPr>
              <w:rPr>
                <w:color w:val="auto"/>
              </w:rPr>
            </w:pPr>
          </w:p>
        </w:tc>
        <w:tc>
          <w:tcPr>
            <w:tcW w:w="917"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536" w:hRule="atLeast"/>
          <w:jc w:val="center"/>
        </w:trPr>
        <w:tc>
          <w:tcPr>
            <w:tcW w:w="782" w:type="dxa"/>
          </w:tcPr>
          <w:p>
            <w:pPr>
              <w:rPr>
                <w:rFonts w:hint="eastAsia" w:eastAsia="宋体"/>
                <w:color w:val="auto"/>
                <w:lang w:val="en-US" w:eastAsia="zh-CN"/>
              </w:rPr>
            </w:pPr>
            <w:r>
              <w:rPr>
                <w:rFonts w:hint="eastAsia"/>
                <w:color w:val="auto"/>
                <w:lang w:val="en-US" w:eastAsia="zh-CN"/>
              </w:rPr>
              <w:t>3</w:t>
            </w:r>
          </w:p>
        </w:tc>
        <w:tc>
          <w:tcPr>
            <w:tcW w:w="96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color w:val="auto"/>
              </w:rPr>
            </w:pPr>
            <w:r>
              <w:rPr>
                <w:rFonts w:hint="eastAsia"/>
                <w:b/>
                <w:bCs/>
                <w:color w:val="auto"/>
                <w:sz w:val="24"/>
                <w:szCs w:val="24"/>
                <w:vertAlign w:val="baseline"/>
                <w:lang w:val="en-US" w:eastAsia="zh-CN"/>
              </w:rPr>
              <w:t>衣领净</w:t>
            </w:r>
          </w:p>
        </w:tc>
        <w:tc>
          <w:tcPr>
            <w:tcW w:w="749" w:type="dxa"/>
          </w:tcPr>
          <w:p>
            <w:pPr>
              <w:rPr>
                <w:color w:val="auto"/>
              </w:rPr>
            </w:pPr>
          </w:p>
        </w:tc>
        <w:tc>
          <w:tcPr>
            <w:tcW w:w="831" w:type="dxa"/>
          </w:tcPr>
          <w:p>
            <w:pPr>
              <w:rPr>
                <w:color w:val="auto"/>
              </w:rPr>
            </w:pPr>
          </w:p>
        </w:tc>
        <w:tc>
          <w:tcPr>
            <w:tcW w:w="831" w:type="dxa"/>
          </w:tcPr>
          <w:p>
            <w:pPr>
              <w:rPr>
                <w:color w:val="auto"/>
              </w:rPr>
            </w:pPr>
          </w:p>
        </w:tc>
        <w:tc>
          <w:tcPr>
            <w:tcW w:w="1443" w:type="dxa"/>
          </w:tcPr>
          <w:p>
            <w:pPr>
              <w:rPr>
                <w:color w:val="auto"/>
              </w:rPr>
            </w:pPr>
          </w:p>
        </w:tc>
        <w:tc>
          <w:tcPr>
            <w:tcW w:w="810" w:type="dxa"/>
          </w:tcPr>
          <w:p>
            <w:pPr>
              <w:rPr>
                <w:color w:val="auto"/>
              </w:rPr>
            </w:pPr>
          </w:p>
        </w:tc>
        <w:tc>
          <w:tcPr>
            <w:tcW w:w="750" w:type="dxa"/>
          </w:tcPr>
          <w:p>
            <w:pPr>
              <w:rPr>
                <w:color w:val="auto"/>
              </w:rPr>
            </w:pPr>
          </w:p>
        </w:tc>
        <w:tc>
          <w:tcPr>
            <w:tcW w:w="917"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536" w:hRule="atLeast"/>
          <w:jc w:val="center"/>
        </w:trPr>
        <w:tc>
          <w:tcPr>
            <w:tcW w:w="782" w:type="dxa"/>
          </w:tcPr>
          <w:p>
            <w:pPr>
              <w:rPr>
                <w:rFonts w:hint="eastAsia" w:eastAsia="宋体"/>
                <w:color w:val="auto"/>
                <w:lang w:val="en-US" w:eastAsia="zh-CN"/>
              </w:rPr>
            </w:pPr>
            <w:r>
              <w:rPr>
                <w:rFonts w:hint="eastAsia"/>
                <w:color w:val="auto"/>
                <w:lang w:val="en-US" w:eastAsia="zh-CN"/>
              </w:rPr>
              <w:t>4</w:t>
            </w:r>
          </w:p>
        </w:tc>
        <w:tc>
          <w:tcPr>
            <w:tcW w:w="96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color w:val="auto"/>
              </w:rPr>
            </w:pPr>
            <w:r>
              <w:rPr>
                <w:rFonts w:hint="eastAsia"/>
                <w:b/>
                <w:bCs/>
                <w:color w:val="auto"/>
                <w:sz w:val="24"/>
                <w:szCs w:val="24"/>
                <w:vertAlign w:val="baseline"/>
                <w:lang w:val="en-US" w:eastAsia="zh-CN"/>
              </w:rPr>
              <w:t>中和剂</w:t>
            </w:r>
          </w:p>
        </w:tc>
        <w:tc>
          <w:tcPr>
            <w:tcW w:w="749" w:type="dxa"/>
          </w:tcPr>
          <w:p>
            <w:pPr>
              <w:rPr>
                <w:color w:val="auto"/>
              </w:rPr>
            </w:pPr>
          </w:p>
        </w:tc>
        <w:tc>
          <w:tcPr>
            <w:tcW w:w="831" w:type="dxa"/>
          </w:tcPr>
          <w:p>
            <w:pPr>
              <w:rPr>
                <w:color w:val="auto"/>
              </w:rPr>
            </w:pPr>
          </w:p>
        </w:tc>
        <w:tc>
          <w:tcPr>
            <w:tcW w:w="831" w:type="dxa"/>
          </w:tcPr>
          <w:p>
            <w:pPr>
              <w:rPr>
                <w:color w:val="auto"/>
              </w:rPr>
            </w:pPr>
          </w:p>
        </w:tc>
        <w:tc>
          <w:tcPr>
            <w:tcW w:w="1443" w:type="dxa"/>
          </w:tcPr>
          <w:p>
            <w:pPr>
              <w:rPr>
                <w:color w:val="auto"/>
              </w:rPr>
            </w:pPr>
          </w:p>
        </w:tc>
        <w:tc>
          <w:tcPr>
            <w:tcW w:w="810" w:type="dxa"/>
          </w:tcPr>
          <w:p>
            <w:pPr>
              <w:rPr>
                <w:color w:val="auto"/>
              </w:rPr>
            </w:pPr>
          </w:p>
        </w:tc>
        <w:tc>
          <w:tcPr>
            <w:tcW w:w="750" w:type="dxa"/>
          </w:tcPr>
          <w:p>
            <w:pPr>
              <w:rPr>
                <w:color w:val="auto"/>
              </w:rPr>
            </w:pPr>
          </w:p>
        </w:tc>
        <w:tc>
          <w:tcPr>
            <w:tcW w:w="917"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536" w:hRule="atLeast"/>
          <w:jc w:val="center"/>
        </w:trPr>
        <w:tc>
          <w:tcPr>
            <w:tcW w:w="782" w:type="dxa"/>
          </w:tcPr>
          <w:p>
            <w:pPr>
              <w:rPr>
                <w:rFonts w:hint="eastAsia" w:eastAsia="宋体"/>
                <w:color w:val="auto"/>
                <w:lang w:val="en-US" w:eastAsia="zh-CN"/>
              </w:rPr>
            </w:pPr>
            <w:r>
              <w:rPr>
                <w:rFonts w:hint="eastAsia"/>
                <w:color w:val="auto"/>
                <w:lang w:val="en-US" w:eastAsia="zh-CN"/>
              </w:rPr>
              <w:t>5</w:t>
            </w:r>
          </w:p>
        </w:tc>
        <w:tc>
          <w:tcPr>
            <w:tcW w:w="962" w:type="dxa"/>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outlineLvl w:val="9"/>
              <w:rPr>
                <w:color w:val="auto"/>
              </w:rPr>
            </w:pPr>
            <w:r>
              <w:rPr>
                <w:rFonts w:hint="eastAsia" w:ascii="宋体" w:hAnsi="宋体" w:eastAsia="宋体" w:cs="宋体"/>
                <w:b/>
                <w:bCs/>
                <w:i w:val="0"/>
                <w:iCs w:val="0"/>
                <w:color w:val="auto"/>
                <w:kern w:val="0"/>
                <w:sz w:val="24"/>
                <w:szCs w:val="24"/>
                <w:u w:val="none"/>
                <w:lang w:val="en-US" w:eastAsia="zh-CN" w:bidi="ar"/>
              </w:rPr>
              <w:t>乳化剂</w:t>
            </w:r>
          </w:p>
        </w:tc>
        <w:tc>
          <w:tcPr>
            <w:tcW w:w="749" w:type="dxa"/>
          </w:tcPr>
          <w:p>
            <w:pPr>
              <w:rPr>
                <w:color w:val="auto"/>
              </w:rPr>
            </w:pPr>
          </w:p>
        </w:tc>
        <w:tc>
          <w:tcPr>
            <w:tcW w:w="831" w:type="dxa"/>
          </w:tcPr>
          <w:p>
            <w:pPr>
              <w:rPr>
                <w:color w:val="auto"/>
              </w:rPr>
            </w:pPr>
          </w:p>
        </w:tc>
        <w:tc>
          <w:tcPr>
            <w:tcW w:w="831" w:type="dxa"/>
          </w:tcPr>
          <w:p>
            <w:pPr>
              <w:rPr>
                <w:color w:val="auto"/>
              </w:rPr>
            </w:pPr>
          </w:p>
        </w:tc>
        <w:tc>
          <w:tcPr>
            <w:tcW w:w="1443" w:type="dxa"/>
          </w:tcPr>
          <w:p>
            <w:pPr>
              <w:rPr>
                <w:color w:val="auto"/>
              </w:rPr>
            </w:pPr>
          </w:p>
        </w:tc>
        <w:tc>
          <w:tcPr>
            <w:tcW w:w="810" w:type="dxa"/>
          </w:tcPr>
          <w:p>
            <w:pPr>
              <w:rPr>
                <w:color w:val="auto"/>
              </w:rPr>
            </w:pPr>
          </w:p>
        </w:tc>
        <w:tc>
          <w:tcPr>
            <w:tcW w:w="750" w:type="dxa"/>
          </w:tcPr>
          <w:p>
            <w:pPr>
              <w:rPr>
                <w:color w:val="auto"/>
              </w:rPr>
            </w:pPr>
          </w:p>
        </w:tc>
        <w:tc>
          <w:tcPr>
            <w:tcW w:w="917" w:type="dxa"/>
          </w:tcPr>
          <w:p>
            <w:pPr>
              <w:rPr>
                <w:color w:val="auto"/>
              </w:rPr>
            </w:pPr>
          </w:p>
        </w:tc>
      </w:tr>
    </w:tbl>
    <w:p>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outlineLvl w:val="9"/>
        <w:rPr>
          <w:rFonts w:hint="eastAsia" w:hAnsi="宋体"/>
          <w:color w:val="auto"/>
          <w:sz w:val="24"/>
          <w:szCs w:val="24"/>
        </w:rPr>
      </w:pPr>
      <w:r>
        <w:rPr>
          <w:rFonts w:hint="eastAsia" w:hAnsi="宋体"/>
          <w:color w:val="auto"/>
          <w:sz w:val="24"/>
          <w:szCs w:val="24"/>
          <w:lang w:val="en-US" w:eastAsia="zh-CN"/>
        </w:rPr>
        <w:t>1</w:t>
      </w:r>
      <w:r>
        <w:rPr>
          <w:rFonts w:hint="eastAsia" w:hAnsi="宋体"/>
          <w:color w:val="auto"/>
          <w:sz w:val="24"/>
          <w:szCs w:val="24"/>
        </w:rPr>
        <w:t>.</w:t>
      </w:r>
      <w:r>
        <w:rPr>
          <w:rFonts w:hint="eastAsia" w:hAnsi="宋体"/>
          <w:color w:val="auto"/>
          <w:sz w:val="24"/>
          <w:szCs w:val="24"/>
          <w:lang w:eastAsia="zh-CN"/>
        </w:rPr>
        <w:t>响应供应商</w:t>
      </w:r>
      <w:r>
        <w:rPr>
          <w:rFonts w:hint="eastAsia" w:hAnsi="宋体"/>
          <w:color w:val="auto"/>
          <w:sz w:val="24"/>
          <w:szCs w:val="24"/>
        </w:rPr>
        <w:t>进行二次报价时，</w:t>
      </w:r>
      <w:r>
        <w:rPr>
          <w:rFonts w:hint="eastAsia" w:hAnsi="宋体"/>
          <w:color w:val="auto"/>
          <w:sz w:val="24"/>
          <w:szCs w:val="24"/>
          <w:lang w:eastAsia="zh-CN"/>
        </w:rPr>
        <w:t>须同时进行总价和分项明细报价；</w:t>
      </w:r>
      <w:r>
        <w:rPr>
          <w:rFonts w:hint="eastAsia"/>
          <w:color w:val="auto"/>
          <w:lang w:val="en-US" w:eastAsia="zh-CN"/>
        </w:rPr>
        <w:t>2</w:t>
      </w:r>
      <w:r>
        <w:rPr>
          <w:rFonts w:hint="eastAsia" w:hAnsi="宋体"/>
          <w:color w:val="auto"/>
          <w:sz w:val="24"/>
          <w:szCs w:val="24"/>
        </w:rPr>
        <w:t>.本表一式二份，一份随报价信封一起提交，一份编入</w:t>
      </w:r>
      <w:r>
        <w:rPr>
          <w:rFonts w:hint="eastAsia" w:hAnsi="宋体"/>
          <w:color w:val="auto"/>
          <w:sz w:val="24"/>
          <w:szCs w:val="24"/>
          <w:lang w:eastAsia="zh-CN"/>
        </w:rPr>
        <w:t>响应文件</w:t>
      </w:r>
      <w:r>
        <w:rPr>
          <w:rFonts w:hint="eastAsia" w:hAnsi="宋体"/>
          <w:color w:val="auto"/>
          <w:sz w:val="24"/>
          <w:szCs w:val="24"/>
        </w:rPr>
        <w:t>（经济部分）。</w:t>
      </w:r>
    </w:p>
    <w:bookmarkEnd w:id="49"/>
    <w:bookmarkEnd w:id="50"/>
    <w:p>
      <w:pPr>
        <w:kinsoku/>
        <w:overflowPunct/>
        <w:topLinePunct w:val="0"/>
        <w:bidi w:val="0"/>
        <w:spacing w:line="360" w:lineRule="auto"/>
        <w:outlineLvl w:val="9"/>
        <w:rPr>
          <w:rFonts w:hAnsi="宋体"/>
          <w:color w:val="auto"/>
          <w:sz w:val="21"/>
          <w:szCs w:val="21"/>
        </w:rPr>
      </w:pPr>
    </w:p>
    <w:p>
      <w:pPr>
        <w:pStyle w:val="30"/>
        <w:kinsoku/>
        <w:wordWrap w:val="0"/>
        <w:overflowPunct/>
        <w:topLinePunct w:val="0"/>
        <w:bidi w:val="0"/>
        <w:spacing w:line="480" w:lineRule="exact"/>
        <w:jc w:val="center"/>
        <w:outlineLvl w:val="9"/>
        <w:rPr>
          <w:rFonts w:hAnsi="宋体"/>
          <w:b/>
          <w:color w:val="auto"/>
          <w:kern w:val="0"/>
          <w:szCs w:val="21"/>
        </w:rPr>
      </w:pP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bookmarkStart w:id="91" w:name="_Toc523221405"/>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法定代表人（或法定代表人授权代表）签名（签章）：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hAnsi="宋体" w:cs="Times New Roman"/>
          <w:color w:val="auto"/>
          <w:sz w:val="24"/>
          <w:szCs w:val="24"/>
          <w:lang w:eastAsia="zh-CN"/>
        </w:rPr>
        <w:t>响应供应商</w:t>
      </w:r>
      <w:r>
        <w:rPr>
          <w:rFonts w:hint="eastAsia" w:ascii="宋体" w:hAnsi="宋体" w:eastAsia="宋体" w:cs="Times New Roman"/>
          <w:color w:val="auto"/>
          <w:sz w:val="24"/>
          <w:szCs w:val="24"/>
          <w:lang w:eastAsia="zh-CN"/>
        </w:rPr>
        <w:t>名称（加盖法人公章）：</w:t>
      </w:r>
    </w:p>
    <w:p>
      <w:pPr>
        <w:kinsoku/>
        <w:overflowPunct/>
        <w:topLinePunct w:val="0"/>
        <w:bidi w:val="0"/>
        <w:snapToGrid w:val="0"/>
        <w:spacing w:line="440" w:lineRule="exact"/>
        <w:outlineLvl w:val="9"/>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日期：</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日</w:t>
      </w:r>
      <w:bookmarkEnd w:id="91"/>
    </w:p>
    <w:sectPr>
      <w:type w:val="continuous"/>
      <w:pgSz w:w="11906" w:h="16838"/>
      <w:pgMar w:top="1440" w:right="1080" w:bottom="1440" w:left="1080" w:header="567" w:footer="550"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宋体_.">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0lY&#10;7tAAAAAFAQAADwAAAAAAAAABACAAAAAiAAAAZHJzL2Rvd25yZXYueG1sUEsBAhQAFAAAAAgAh07i&#10;QHMire+4AQAAVQMAAA4AAAAAAAAAAQAgAAAAHwEAAGRycy9lMm9Eb2MueG1sUEsFBgAAAAAGAAYA&#10;WQEAAEk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p>
    <w:pPr>
      <w:pStyle w:val="13"/>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3"/>
                            <w:rPr>
                              <w:rStyle w:val="61"/>
                            </w:rPr>
                          </w:pPr>
                          <w:r>
                            <w:fldChar w:fldCharType="begin"/>
                          </w:r>
                          <w:r>
                            <w:rPr>
                              <w:rStyle w:val="61"/>
                            </w:rPr>
                            <w:instrText xml:space="preserve">PAGE  </w:instrText>
                          </w:r>
                          <w:r>
                            <w:fldChar w:fldCharType="separate"/>
                          </w:r>
                          <w:r>
                            <w:rPr>
                              <w:rStyle w:val="61"/>
                            </w:rPr>
                            <w:t>60</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D8kaovtgEAAFUDAAAOAAAAAAAAAAEAIAAAACIBAABkcnMvZTJvRG9jLnhtbFBLBQYAAAAABgAG&#10;AFkBAABKBQAAAAA=&#10;">
              <v:fill on="f" focussize="0,0"/>
              <v:stroke on="f" weight="1.25pt"/>
              <v:imagedata o:title=""/>
              <o:lock v:ext="edit" aspectratio="f"/>
              <v:textbox inset="0mm,0mm,0mm,0mm" style="mso-fit-shape-to-text:t;">
                <w:txbxContent>
                  <w:p>
                    <w:pPr>
                      <w:pStyle w:val="13"/>
                      <w:rPr>
                        <w:rStyle w:val="61"/>
                      </w:rPr>
                    </w:pPr>
                    <w:r>
                      <w:fldChar w:fldCharType="begin"/>
                    </w:r>
                    <w:r>
                      <w:rPr>
                        <w:rStyle w:val="61"/>
                      </w:rPr>
                      <w:instrText xml:space="preserve">PAGE  </w:instrText>
                    </w:r>
                    <w:r>
                      <w:fldChar w:fldCharType="separate"/>
                    </w:r>
                    <w:r>
                      <w:rPr>
                        <w:rStyle w:val="61"/>
                      </w:rP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3"/>
        <w:right w:val="none" w:color="auto" w:sz="0" w:space="0"/>
      </w:pBdr>
      <w:ind w:firstLine="360" w:firstLineChars="200"/>
      <w:rPr>
        <w:rFonts w:hint="eastAsia" w:eastAsia="宋体"/>
        <w:u w:val="single"/>
        <w:lang w:eastAsia="zh-CN"/>
      </w:rPr>
    </w:pPr>
    <w:r>
      <w:rPr>
        <w:rFonts w:hint="eastAsia"/>
        <w:u w:val="single"/>
        <w:lang w:eastAsia="zh-CN"/>
      </w:rPr>
      <w:t>洗衣房洗涤用品采购项目（第二次）</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rFonts w:hint="eastAsia"/>
        <w:u w:val="single"/>
        <w:lang w:eastAsia="zh-CN"/>
      </w:rPr>
      <w:t>NFQYCG2023002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733E23"/>
    <w:multiLevelType w:val="singleLevel"/>
    <w:tmpl w:val="CD733E23"/>
    <w:lvl w:ilvl="0" w:tentative="0">
      <w:start w:val="9"/>
      <w:numFmt w:val="chineseCounting"/>
      <w:suff w:val="nothing"/>
      <w:lvlText w:val="%1、"/>
      <w:lvlJc w:val="left"/>
      <w:rPr>
        <w:rFonts w:hint="eastAsia"/>
      </w:rPr>
    </w:lvl>
  </w:abstractNum>
  <w:abstractNum w:abstractNumId="1">
    <w:nsid w:val="00000008"/>
    <w:multiLevelType w:val="multilevel"/>
    <w:tmpl w:val="00000008"/>
    <w:lvl w:ilvl="0" w:tentative="0">
      <w:start w:val="1"/>
      <w:numFmt w:val="decimal"/>
      <w:pStyle w:val="56"/>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decimal"/>
      <w:lvlText w:val="%1."/>
      <w:lvlJc w:val="left"/>
      <w:pPr>
        <w:tabs>
          <w:tab w:val="left" w:pos="704"/>
        </w:tabs>
        <w:ind w:left="704"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F"/>
    <w:multiLevelType w:val="multilevel"/>
    <w:tmpl w:val="0000000F"/>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0"/>
    <w:multiLevelType w:val="singleLevel"/>
    <w:tmpl w:val="00000010"/>
    <w:lvl w:ilvl="0" w:tentative="0">
      <w:start w:val="1"/>
      <w:numFmt w:val="upperLetter"/>
      <w:pStyle w:val="5"/>
      <w:lvlText w:val="%1."/>
      <w:legacy w:legacy="1" w:legacySpace="0" w:legacyIndent="285"/>
      <w:lvlJc w:val="left"/>
      <w:pPr>
        <w:ind w:left="1965" w:hanging="285"/>
      </w:pPr>
      <w:rPr>
        <w:rFonts w:hint="eastAsia" w:ascii="宋体" w:eastAsia="宋体"/>
        <w:b w:val="0"/>
        <w:i w:val="0"/>
        <w:sz w:val="28"/>
        <w:u w:val="none"/>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dit="forms" w:formatting="1" w:enforcement="0"/>
  <w:defaultTabStop w:val="420"/>
  <w:drawingGridHorizontalSpacing w:val="1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2NDEwMjA5YjhiMWRkM2JjMTlhZDVmNzlkYThlNzcifQ=="/>
  </w:docVars>
  <w:rsids>
    <w:rsidRoot w:val="007B1ED3"/>
    <w:rsid w:val="00001739"/>
    <w:rsid w:val="00003A08"/>
    <w:rsid w:val="00011016"/>
    <w:rsid w:val="0001188A"/>
    <w:rsid w:val="000136E6"/>
    <w:rsid w:val="00016DDB"/>
    <w:rsid w:val="00016F8E"/>
    <w:rsid w:val="00021370"/>
    <w:rsid w:val="00033FD2"/>
    <w:rsid w:val="000412EE"/>
    <w:rsid w:val="00042237"/>
    <w:rsid w:val="000464EA"/>
    <w:rsid w:val="0005203F"/>
    <w:rsid w:val="00055196"/>
    <w:rsid w:val="000560F1"/>
    <w:rsid w:val="00065CF1"/>
    <w:rsid w:val="0006780F"/>
    <w:rsid w:val="000706CD"/>
    <w:rsid w:val="0007628D"/>
    <w:rsid w:val="00081215"/>
    <w:rsid w:val="000864AB"/>
    <w:rsid w:val="00086DAB"/>
    <w:rsid w:val="00087C03"/>
    <w:rsid w:val="00097D6D"/>
    <w:rsid w:val="000A1E33"/>
    <w:rsid w:val="000A4EB9"/>
    <w:rsid w:val="000A7C87"/>
    <w:rsid w:val="000B29D6"/>
    <w:rsid w:val="000B354F"/>
    <w:rsid w:val="000C5459"/>
    <w:rsid w:val="000C703F"/>
    <w:rsid w:val="000C7CB3"/>
    <w:rsid w:val="000D0878"/>
    <w:rsid w:val="000D44F7"/>
    <w:rsid w:val="000E2B5F"/>
    <w:rsid w:val="000F287D"/>
    <w:rsid w:val="000F6FAD"/>
    <w:rsid w:val="0010025A"/>
    <w:rsid w:val="001010D2"/>
    <w:rsid w:val="00107B4C"/>
    <w:rsid w:val="00107FB4"/>
    <w:rsid w:val="00112EF3"/>
    <w:rsid w:val="00121EBD"/>
    <w:rsid w:val="00123392"/>
    <w:rsid w:val="00123864"/>
    <w:rsid w:val="0012425B"/>
    <w:rsid w:val="001276B2"/>
    <w:rsid w:val="0013271D"/>
    <w:rsid w:val="001449B0"/>
    <w:rsid w:val="001464B0"/>
    <w:rsid w:val="00146519"/>
    <w:rsid w:val="00146542"/>
    <w:rsid w:val="00151809"/>
    <w:rsid w:val="00153DA7"/>
    <w:rsid w:val="0015468D"/>
    <w:rsid w:val="001551B9"/>
    <w:rsid w:val="00156706"/>
    <w:rsid w:val="001578B5"/>
    <w:rsid w:val="001629D4"/>
    <w:rsid w:val="001663B3"/>
    <w:rsid w:val="00167F24"/>
    <w:rsid w:val="001746CB"/>
    <w:rsid w:val="0017667D"/>
    <w:rsid w:val="00176811"/>
    <w:rsid w:val="0017766F"/>
    <w:rsid w:val="0018459D"/>
    <w:rsid w:val="0018554D"/>
    <w:rsid w:val="00186E1F"/>
    <w:rsid w:val="00194742"/>
    <w:rsid w:val="00197CFD"/>
    <w:rsid w:val="001A46D1"/>
    <w:rsid w:val="001A4990"/>
    <w:rsid w:val="001B459D"/>
    <w:rsid w:val="001B4995"/>
    <w:rsid w:val="001B4ED5"/>
    <w:rsid w:val="001C2F1B"/>
    <w:rsid w:val="001C5F5F"/>
    <w:rsid w:val="001C6E96"/>
    <w:rsid w:val="001C7C51"/>
    <w:rsid w:val="001D27EB"/>
    <w:rsid w:val="001E06E3"/>
    <w:rsid w:val="001E65FF"/>
    <w:rsid w:val="001F226B"/>
    <w:rsid w:val="001F3624"/>
    <w:rsid w:val="001F4A51"/>
    <w:rsid w:val="001F7F2C"/>
    <w:rsid w:val="0020215F"/>
    <w:rsid w:val="002039E6"/>
    <w:rsid w:val="00213C2A"/>
    <w:rsid w:val="0021429C"/>
    <w:rsid w:val="0021469F"/>
    <w:rsid w:val="002161CE"/>
    <w:rsid w:val="00217172"/>
    <w:rsid w:val="00221BA5"/>
    <w:rsid w:val="00226424"/>
    <w:rsid w:val="00227A9E"/>
    <w:rsid w:val="0023546C"/>
    <w:rsid w:val="00237DB2"/>
    <w:rsid w:val="00242BC7"/>
    <w:rsid w:val="00244A5D"/>
    <w:rsid w:val="00255CB5"/>
    <w:rsid w:val="00261A27"/>
    <w:rsid w:val="00262A32"/>
    <w:rsid w:val="00267F54"/>
    <w:rsid w:val="00270BC6"/>
    <w:rsid w:val="00272947"/>
    <w:rsid w:val="00276A94"/>
    <w:rsid w:val="00287559"/>
    <w:rsid w:val="00290847"/>
    <w:rsid w:val="00293848"/>
    <w:rsid w:val="00294628"/>
    <w:rsid w:val="002A4CB3"/>
    <w:rsid w:val="002A7BEE"/>
    <w:rsid w:val="002B66EB"/>
    <w:rsid w:val="002B7441"/>
    <w:rsid w:val="002B77EC"/>
    <w:rsid w:val="002C0EB2"/>
    <w:rsid w:val="002C2CEF"/>
    <w:rsid w:val="002C6EEE"/>
    <w:rsid w:val="002C7A3D"/>
    <w:rsid w:val="002D27F8"/>
    <w:rsid w:val="002D2AB5"/>
    <w:rsid w:val="002D62D6"/>
    <w:rsid w:val="002E4F58"/>
    <w:rsid w:val="002E7CCE"/>
    <w:rsid w:val="002E7FC6"/>
    <w:rsid w:val="002F0913"/>
    <w:rsid w:val="002F2927"/>
    <w:rsid w:val="00300CB5"/>
    <w:rsid w:val="00304A70"/>
    <w:rsid w:val="003050D5"/>
    <w:rsid w:val="00312038"/>
    <w:rsid w:val="00313121"/>
    <w:rsid w:val="003152CD"/>
    <w:rsid w:val="0033167D"/>
    <w:rsid w:val="00334C16"/>
    <w:rsid w:val="00340179"/>
    <w:rsid w:val="00347037"/>
    <w:rsid w:val="00351974"/>
    <w:rsid w:val="00352BAE"/>
    <w:rsid w:val="00354018"/>
    <w:rsid w:val="00356CA6"/>
    <w:rsid w:val="0035732B"/>
    <w:rsid w:val="00360A8C"/>
    <w:rsid w:val="00362534"/>
    <w:rsid w:val="00375617"/>
    <w:rsid w:val="0037641F"/>
    <w:rsid w:val="0037673F"/>
    <w:rsid w:val="003808F3"/>
    <w:rsid w:val="00382886"/>
    <w:rsid w:val="00384E7B"/>
    <w:rsid w:val="00385798"/>
    <w:rsid w:val="00387AF2"/>
    <w:rsid w:val="003948F0"/>
    <w:rsid w:val="00394E3E"/>
    <w:rsid w:val="003A5D8D"/>
    <w:rsid w:val="003B035D"/>
    <w:rsid w:val="003B2FE8"/>
    <w:rsid w:val="003B45D8"/>
    <w:rsid w:val="003C4EFB"/>
    <w:rsid w:val="003C630C"/>
    <w:rsid w:val="003C78A5"/>
    <w:rsid w:val="003D20C9"/>
    <w:rsid w:val="003E28CD"/>
    <w:rsid w:val="003E673B"/>
    <w:rsid w:val="00406D91"/>
    <w:rsid w:val="004165D7"/>
    <w:rsid w:val="00421DBE"/>
    <w:rsid w:val="00425266"/>
    <w:rsid w:val="0042595A"/>
    <w:rsid w:val="004269A7"/>
    <w:rsid w:val="004310EE"/>
    <w:rsid w:val="00431E6E"/>
    <w:rsid w:val="00432A21"/>
    <w:rsid w:val="00433431"/>
    <w:rsid w:val="0043432E"/>
    <w:rsid w:val="0044148B"/>
    <w:rsid w:val="004509EE"/>
    <w:rsid w:val="00451F6D"/>
    <w:rsid w:val="00452F89"/>
    <w:rsid w:val="0046098A"/>
    <w:rsid w:val="00461B4D"/>
    <w:rsid w:val="00463D01"/>
    <w:rsid w:val="00466C5E"/>
    <w:rsid w:val="004672D4"/>
    <w:rsid w:val="0047298C"/>
    <w:rsid w:val="004847E5"/>
    <w:rsid w:val="00484F4A"/>
    <w:rsid w:val="00485E84"/>
    <w:rsid w:val="00490223"/>
    <w:rsid w:val="004902E3"/>
    <w:rsid w:val="004A10A8"/>
    <w:rsid w:val="004A3148"/>
    <w:rsid w:val="004B103B"/>
    <w:rsid w:val="004B74A6"/>
    <w:rsid w:val="004C0517"/>
    <w:rsid w:val="004C365F"/>
    <w:rsid w:val="004C5CA2"/>
    <w:rsid w:val="004D041E"/>
    <w:rsid w:val="004D0CAD"/>
    <w:rsid w:val="004D476D"/>
    <w:rsid w:val="004E36C1"/>
    <w:rsid w:val="004E3AA0"/>
    <w:rsid w:val="004E4D55"/>
    <w:rsid w:val="004E5AA6"/>
    <w:rsid w:val="004F4CBC"/>
    <w:rsid w:val="004F6922"/>
    <w:rsid w:val="004F6F6B"/>
    <w:rsid w:val="004F7EFC"/>
    <w:rsid w:val="005044AF"/>
    <w:rsid w:val="00504BB8"/>
    <w:rsid w:val="0051550F"/>
    <w:rsid w:val="00516148"/>
    <w:rsid w:val="00516916"/>
    <w:rsid w:val="00525847"/>
    <w:rsid w:val="005271B8"/>
    <w:rsid w:val="005275DF"/>
    <w:rsid w:val="00532D17"/>
    <w:rsid w:val="00532EC1"/>
    <w:rsid w:val="0054084E"/>
    <w:rsid w:val="00542CC6"/>
    <w:rsid w:val="00542DF9"/>
    <w:rsid w:val="00544001"/>
    <w:rsid w:val="0054636C"/>
    <w:rsid w:val="0055116F"/>
    <w:rsid w:val="0055269F"/>
    <w:rsid w:val="00567718"/>
    <w:rsid w:val="00572825"/>
    <w:rsid w:val="005749F2"/>
    <w:rsid w:val="005756DC"/>
    <w:rsid w:val="00575DC3"/>
    <w:rsid w:val="00576F19"/>
    <w:rsid w:val="0059051D"/>
    <w:rsid w:val="00593287"/>
    <w:rsid w:val="005A6099"/>
    <w:rsid w:val="005B0DAF"/>
    <w:rsid w:val="005B6D16"/>
    <w:rsid w:val="005C45C3"/>
    <w:rsid w:val="005C774D"/>
    <w:rsid w:val="005D1CF6"/>
    <w:rsid w:val="005D3857"/>
    <w:rsid w:val="005D3E78"/>
    <w:rsid w:val="005D72A3"/>
    <w:rsid w:val="005D7DD4"/>
    <w:rsid w:val="005E17F5"/>
    <w:rsid w:val="005E2AE1"/>
    <w:rsid w:val="005F42F9"/>
    <w:rsid w:val="005F51C5"/>
    <w:rsid w:val="005F5B8D"/>
    <w:rsid w:val="00601600"/>
    <w:rsid w:val="00601FC9"/>
    <w:rsid w:val="0060483A"/>
    <w:rsid w:val="00612AF9"/>
    <w:rsid w:val="00613090"/>
    <w:rsid w:val="0061471B"/>
    <w:rsid w:val="00614CE1"/>
    <w:rsid w:val="00616509"/>
    <w:rsid w:val="00617626"/>
    <w:rsid w:val="00623242"/>
    <w:rsid w:val="00623667"/>
    <w:rsid w:val="006240D4"/>
    <w:rsid w:val="00627822"/>
    <w:rsid w:val="00633A06"/>
    <w:rsid w:val="006349EB"/>
    <w:rsid w:val="00635E63"/>
    <w:rsid w:val="006408FF"/>
    <w:rsid w:val="0064137D"/>
    <w:rsid w:val="00642A58"/>
    <w:rsid w:val="00644781"/>
    <w:rsid w:val="006500D3"/>
    <w:rsid w:val="0065047A"/>
    <w:rsid w:val="00652DE6"/>
    <w:rsid w:val="00657FD2"/>
    <w:rsid w:val="00660F4C"/>
    <w:rsid w:val="006618ED"/>
    <w:rsid w:val="0066549E"/>
    <w:rsid w:val="00666B2A"/>
    <w:rsid w:val="00674ADF"/>
    <w:rsid w:val="006819B7"/>
    <w:rsid w:val="0068355C"/>
    <w:rsid w:val="0068608A"/>
    <w:rsid w:val="00686EA4"/>
    <w:rsid w:val="006913D7"/>
    <w:rsid w:val="006944AF"/>
    <w:rsid w:val="00697E19"/>
    <w:rsid w:val="006A118F"/>
    <w:rsid w:val="006A314E"/>
    <w:rsid w:val="006A4B60"/>
    <w:rsid w:val="006A67BA"/>
    <w:rsid w:val="006B314F"/>
    <w:rsid w:val="006B3CE1"/>
    <w:rsid w:val="006B4619"/>
    <w:rsid w:val="006C14F6"/>
    <w:rsid w:val="006C52A5"/>
    <w:rsid w:val="006D7B9B"/>
    <w:rsid w:val="006D7E3F"/>
    <w:rsid w:val="006E2B93"/>
    <w:rsid w:val="006E6DFD"/>
    <w:rsid w:val="006F1CCB"/>
    <w:rsid w:val="00700F69"/>
    <w:rsid w:val="00701A43"/>
    <w:rsid w:val="00703643"/>
    <w:rsid w:val="00703FCF"/>
    <w:rsid w:val="007054C6"/>
    <w:rsid w:val="0071154D"/>
    <w:rsid w:val="00713EB8"/>
    <w:rsid w:val="007159B8"/>
    <w:rsid w:val="007164FE"/>
    <w:rsid w:val="00722E74"/>
    <w:rsid w:val="00740363"/>
    <w:rsid w:val="00742957"/>
    <w:rsid w:val="0074303F"/>
    <w:rsid w:val="007458F5"/>
    <w:rsid w:val="00753643"/>
    <w:rsid w:val="00753C24"/>
    <w:rsid w:val="0075426C"/>
    <w:rsid w:val="0075764D"/>
    <w:rsid w:val="00761159"/>
    <w:rsid w:val="00764F3E"/>
    <w:rsid w:val="00765B07"/>
    <w:rsid w:val="0077183B"/>
    <w:rsid w:val="0078182F"/>
    <w:rsid w:val="00783DA8"/>
    <w:rsid w:val="00784766"/>
    <w:rsid w:val="007870CF"/>
    <w:rsid w:val="0078765A"/>
    <w:rsid w:val="007901D9"/>
    <w:rsid w:val="007914C5"/>
    <w:rsid w:val="007B0F88"/>
    <w:rsid w:val="007B1ED3"/>
    <w:rsid w:val="007B3FF0"/>
    <w:rsid w:val="007C1C8E"/>
    <w:rsid w:val="007C302F"/>
    <w:rsid w:val="007C69A3"/>
    <w:rsid w:val="007C7EA5"/>
    <w:rsid w:val="007D314F"/>
    <w:rsid w:val="007D33FE"/>
    <w:rsid w:val="007E0E63"/>
    <w:rsid w:val="007E4F6F"/>
    <w:rsid w:val="007F4186"/>
    <w:rsid w:val="007F79B5"/>
    <w:rsid w:val="00807978"/>
    <w:rsid w:val="0081009B"/>
    <w:rsid w:val="0081419C"/>
    <w:rsid w:val="00814FEE"/>
    <w:rsid w:val="00815AC8"/>
    <w:rsid w:val="0082114C"/>
    <w:rsid w:val="008231A1"/>
    <w:rsid w:val="008315FB"/>
    <w:rsid w:val="00836759"/>
    <w:rsid w:val="0083794B"/>
    <w:rsid w:val="00841D89"/>
    <w:rsid w:val="008423D3"/>
    <w:rsid w:val="00842CD0"/>
    <w:rsid w:val="008517CA"/>
    <w:rsid w:val="0085228E"/>
    <w:rsid w:val="00856394"/>
    <w:rsid w:val="0085744D"/>
    <w:rsid w:val="0086673D"/>
    <w:rsid w:val="0086729C"/>
    <w:rsid w:val="008726E7"/>
    <w:rsid w:val="00874D03"/>
    <w:rsid w:val="00875BFF"/>
    <w:rsid w:val="00882A09"/>
    <w:rsid w:val="00884CB2"/>
    <w:rsid w:val="008853DE"/>
    <w:rsid w:val="00886082"/>
    <w:rsid w:val="00891FAF"/>
    <w:rsid w:val="008946D3"/>
    <w:rsid w:val="0089494F"/>
    <w:rsid w:val="00894BBA"/>
    <w:rsid w:val="00897808"/>
    <w:rsid w:val="008B6ABB"/>
    <w:rsid w:val="008C02E8"/>
    <w:rsid w:val="008C42C4"/>
    <w:rsid w:val="008C4B56"/>
    <w:rsid w:val="008C68AF"/>
    <w:rsid w:val="008D083A"/>
    <w:rsid w:val="008D101F"/>
    <w:rsid w:val="008D7251"/>
    <w:rsid w:val="008D7658"/>
    <w:rsid w:val="008D7C09"/>
    <w:rsid w:val="008E7B21"/>
    <w:rsid w:val="00901E8F"/>
    <w:rsid w:val="00915960"/>
    <w:rsid w:val="009217D5"/>
    <w:rsid w:val="00922810"/>
    <w:rsid w:val="00933E4E"/>
    <w:rsid w:val="00935C0E"/>
    <w:rsid w:val="009368DF"/>
    <w:rsid w:val="00941C45"/>
    <w:rsid w:val="00951932"/>
    <w:rsid w:val="0095535F"/>
    <w:rsid w:val="009627B1"/>
    <w:rsid w:val="00964A61"/>
    <w:rsid w:val="00971562"/>
    <w:rsid w:val="00974AF3"/>
    <w:rsid w:val="009766E8"/>
    <w:rsid w:val="00981987"/>
    <w:rsid w:val="00982BC2"/>
    <w:rsid w:val="00991FAC"/>
    <w:rsid w:val="00992BF4"/>
    <w:rsid w:val="009942FD"/>
    <w:rsid w:val="00997115"/>
    <w:rsid w:val="00997186"/>
    <w:rsid w:val="009A1E0F"/>
    <w:rsid w:val="009A5E88"/>
    <w:rsid w:val="009A79E1"/>
    <w:rsid w:val="009B4236"/>
    <w:rsid w:val="009B5465"/>
    <w:rsid w:val="009B63A7"/>
    <w:rsid w:val="009C1F31"/>
    <w:rsid w:val="009C4CF3"/>
    <w:rsid w:val="009C6AAA"/>
    <w:rsid w:val="009D2DFD"/>
    <w:rsid w:val="009E4EA7"/>
    <w:rsid w:val="009F0BDE"/>
    <w:rsid w:val="009F3540"/>
    <w:rsid w:val="009F4B47"/>
    <w:rsid w:val="009F5A43"/>
    <w:rsid w:val="00A0481D"/>
    <w:rsid w:val="00A06D61"/>
    <w:rsid w:val="00A07FA1"/>
    <w:rsid w:val="00A11FBF"/>
    <w:rsid w:val="00A1488C"/>
    <w:rsid w:val="00A20C3B"/>
    <w:rsid w:val="00A227F2"/>
    <w:rsid w:val="00A23A97"/>
    <w:rsid w:val="00A26AEB"/>
    <w:rsid w:val="00A27A86"/>
    <w:rsid w:val="00A31F72"/>
    <w:rsid w:val="00A32007"/>
    <w:rsid w:val="00A331FB"/>
    <w:rsid w:val="00A37647"/>
    <w:rsid w:val="00A41FA5"/>
    <w:rsid w:val="00A4719B"/>
    <w:rsid w:val="00A54BBC"/>
    <w:rsid w:val="00A559A9"/>
    <w:rsid w:val="00A579BE"/>
    <w:rsid w:val="00A6598E"/>
    <w:rsid w:val="00A70343"/>
    <w:rsid w:val="00A709A2"/>
    <w:rsid w:val="00A74F98"/>
    <w:rsid w:val="00A75A1D"/>
    <w:rsid w:val="00A85244"/>
    <w:rsid w:val="00A867B0"/>
    <w:rsid w:val="00A929E3"/>
    <w:rsid w:val="00AA0E5B"/>
    <w:rsid w:val="00AA1FF2"/>
    <w:rsid w:val="00AA32E7"/>
    <w:rsid w:val="00AA349D"/>
    <w:rsid w:val="00AA4901"/>
    <w:rsid w:val="00AA5817"/>
    <w:rsid w:val="00AA6D56"/>
    <w:rsid w:val="00AB320C"/>
    <w:rsid w:val="00AB3BED"/>
    <w:rsid w:val="00AB7BE1"/>
    <w:rsid w:val="00AC010F"/>
    <w:rsid w:val="00AC048C"/>
    <w:rsid w:val="00AC2586"/>
    <w:rsid w:val="00AC5EA0"/>
    <w:rsid w:val="00AD3D29"/>
    <w:rsid w:val="00AD4D2B"/>
    <w:rsid w:val="00AE5E02"/>
    <w:rsid w:val="00AF04FE"/>
    <w:rsid w:val="00B00BA6"/>
    <w:rsid w:val="00B02C61"/>
    <w:rsid w:val="00B07589"/>
    <w:rsid w:val="00B07EF5"/>
    <w:rsid w:val="00B1186C"/>
    <w:rsid w:val="00B17474"/>
    <w:rsid w:val="00B223B2"/>
    <w:rsid w:val="00B26967"/>
    <w:rsid w:val="00B27A5C"/>
    <w:rsid w:val="00B27F4C"/>
    <w:rsid w:val="00B30E05"/>
    <w:rsid w:val="00B37D9A"/>
    <w:rsid w:val="00B4372F"/>
    <w:rsid w:val="00B44341"/>
    <w:rsid w:val="00B452B7"/>
    <w:rsid w:val="00B46587"/>
    <w:rsid w:val="00B47C26"/>
    <w:rsid w:val="00B5022A"/>
    <w:rsid w:val="00B50DAA"/>
    <w:rsid w:val="00B51AF3"/>
    <w:rsid w:val="00B6312E"/>
    <w:rsid w:val="00B642E7"/>
    <w:rsid w:val="00B84DD6"/>
    <w:rsid w:val="00B87D2E"/>
    <w:rsid w:val="00B92B99"/>
    <w:rsid w:val="00B97F4A"/>
    <w:rsid w:val="00BA5360"/>
    <w:rsid w:val="00BA755F"/>
    <w:rsid w:val="00BB0F4A"/>
    <w:rsid w:val="00BB694C"/>
    <w:rsid w:val="00BC13E5"/>
    <w:rsid w:val="00BC3299"/>
    <w:rsid w:val="00BC409F"/>
    <w:rsid w:val="00BC41BF"/>
    <w:rsid w:val="00BC4DA9"/>
    <w:rsid w:val="00BC61E3"/>
    <w:rsid w:val="00BD265F"/>
    <w:rsid w:val="00BD28A8"/>
    <w:rsid w:val="00BD498C"/>
    <w:rsid w:val="00BE07D1"/>
    <w:rsid w:val="00BE1FCA"/>
    <w:rsid w:val="00BF0CEC"/>
    <w:rsid w:val="00BF546B"/>
    <w:rsid w:val="00C011E1"/>
    <w:rsid w:val="00C10E21"/>
    <w:rsid w:val="00C112CD"/>
    <w:rsid w:val="00C115C0"/>
    <w:rsid w:val="00C13ADA"/>
    <w:rsid w:val="00C145E9"/>
    <w:rsid w:val="00C16620"/>
    <w:rsid w:val="00C22667"/>
    <w:rsid w:val="00C33ADF"/>
    <w:rsid w:val="00C40BE3"/>
    <w:rsid w:val="00C43FD7"/>
    <w:rsid w:val="00C4504D"/>
    <w:rsid w:val="00C45354"/>
    <w:rsid w:val="00C45B75"/>
    <w:rsid w:val="00C503F3"/>
    <w:rsid w:val="00C52E60"/>
    <w:rsid w:val="00C60762"/>
    <w:rsid w:val="00C6714F"/>
    <w:rsid w:val="00C72625"/>
    <w:rsid w:val="00C72D0C"/>
    <w:rsid w:val="00C7356D"/>
    <w:rsid w:val="00C8066B"/>
    <w:rsid w:val="00C828E4"/>
    <w:rsid w:val="00C84DDF"/>
    <w:rsid w:val="00C853A0"/>
    <w:rsid w:val="00C856FA"/>
    <w:rsid w:val="00C85D3C"/>
    <w:rsid w:val="00C96019"/>
    <w:rsid w:val="00CA5C03"/>
    <w:rsid w:val="00CA6DF0"/>
    <w:rsid w:val="00CA7532"/>
    <w:rsid w:val="00CB7609"/>
    <w:rsid w:val="00CB7D62"/>
    <w:rsid w:val="00CC204B"/>
    <w:rsid w:val="00CC2715"/>
    <w:rsid w:val="00CD0BC8"/>
    <w:rsid w:val="00CD1932"/>
    <w:rsid w:val="00CD7336"/>
    <w:rsid w:val="00CE20FE"/>
    <w:rsid w:val="00CF0490"/>
    <w:rsid w:val="00CF2FDB"/>
    <w:rsid w:val="00CF302A"/>
    <w:rsid w:val="00CF4558"/>
    <w:rsid w:val="00D06CD9"/>
    <w:rsid w:val="00D07E88"/>
    <w:rsid w:val="00D106B4"/>
    <w:rsid w:val="00D121AD"/>
    <w:rsid w:val="00D168DE"/>
    <w:rsid w:val="00D22F10"/>
    <w:rsid w:val="00D24EA0"/>
    <w:rsid w:val="00D25CEA"/>
    <w:rsid w:val="00D27A14"/>
    <w:rsid w:val="00D309E6"/>
    <w:rsid w:val="00D31A8D"/>
    <w:rsid w:val="00D31C65"/>
    <w:rsid w:val="00D4361C"/>
    <w:rsid w:val="00D47A51"/>
    <w:rsid w:val="00D562A2"/>
    <w:rsid w:val="00D56312"/>
    <w:rsid w:val="00D61362"/>
    <w:rsid w:val="00D72069"/>
    <w:rsid w:val="00D76C08"/>
    <w:rsid w:val="00D80D04"/>
    <w:rsid w:val="00D85A58"/>
    <w:rsid w:val="00D91A40"/>
    <w:rsid w:val="00D9302D"/>
    <w:rsid w:val="00DA187F"/>
    <w:rsid w:val="00DA3EDE"/>
    <w:rsid w:val="00DA5EBA"/>
    <w:rsid w:val="00DB3A36"/>
    <w:rsid w:val="00DB76DD"/>
    <w:rsid w:val="00DC0DCD"/>
    <w:rsid w:val="00DC3476"/>
    <w:rsid w:val="00DC3490"/>
    <w:rsid w:val="00DC3FFB"/>
    <w:rsid w:val="00DD3D68"/>
    <w:rsid w:val="00DD497B"/>
    <w:rsid w:val="00DE0F3D"/>
    <w:rsid w:val="00DE336C"/>
    <w:rsid w:val="00DE6C6F"/>
    <w:rsid w:val="00DF4170"/>
    <w:rsid w:val="00E0005E"/>
    <w:rsid w:val="00E03519"/>
    <w:rsid w:val="00E224FA"/>
    <w:rsid w:val="00E32400"/>
    <w:rsid w:val="00E34785"/>
    <w:rsid w:val="00E40C2C"/>
    <w:rsid w:val="00E40EA4"/>
    <w:rsid w:val="00E45899"/>
    <w:rsid w:val="00E62F9E"/>
    <w:rsid w:val="00E64F8A"/>
    <w:rsid w:val="00E66B74"/>
    <w:rsid w:val="00E67C20"/>
    <w:rsid w:val="00E701F0"/>
    <w:rsid w:val="00E71074"/>
    <w:rsid w:val="00E724C4"/>
    <w:rsid w:val="00E867D1"/>
    <w:rsid w:val="00E90717"/>
    <w:rsid w:val="00E92D0A"/>
    <w:rsid w:val="00E96178"/>
    <w:rsid w:val="00EB0A71"/>
    <w:rsid w:val="00EB67E0"/>
    <w:rsid w:val="00EC0445"/>
    <w:rsid w:val="00EC2B2D"/>
    <w:rsid w:val="00EC754C"/>
    <w:rsid w:val="00ED0658"/>
    <w:rsid w:val="00ED06B5"/>
    <w:rsid w:val="00ED0FB6"/>
    <w:rsid w:val="00ED1810"/>
    <w:rsid w:val="00ED7F7A"/>
    <w:rsid w:val="00EE08E3"/>
    <w:rsid w:val="00EE2946"/>
    <w:rsid w:val="00EE3E4D"/>
    <w:rsid w:val="00EE6985"/>
    <w:rsid w:val="00EF260A"/>
    <w:rsid w:val="00EF3804"/>
    <w:rsid w:val="00EF636E"/>
    <w:rsid w:val="00F00218"/>
    <w:rsid w:val="00F00AB0"/>
    <w:rsid w:val="00F01F9C"/>
    <w:rsid w:val="00F03314"/>
    <w:rsid w:val="00F044BC"/>
    <w:rsid w:val="00F0483B"/>
    <w:rsid w:val="00F078D8"/>
    <w:rsid w:val="00F11C93"/>
    <w:rsid w:val="00F13663"/>
    <w:rsid w:val="00F22347"/>
    <w:rsid w:val="00F2299E"/>
    <w:rsid w:val="00F23864"/>
    <w:rsid w:val="00F25652"/>
    <w:rsid w:val="00F26FFD"/>
    <w:rsid w:val="00F3069A"/>
    <w:rsid w:val="00F32DC2"/>
    <w:rsid w:val="00F34016"/>
    <w:rsid w:val="00F347BE"/>
    <w:rsid w:val="00F377BC"/>
    <w:rsid w:val="00F402A1"/>
    <w:rsid w:val="00F40951"/>
    <w:rsid w:val="00F4585E"/>
    <w:rsid w:val="00F51E90"/>
    <w:rsid w:val="00F528EE"/>
    <w:rsid w:val="00F539BF"/>
    <w:rsid w:val="00F5630B"/>
    <w:rsid w:val="00F64937"/>
    <w:rsid w:val="00F7007E"/>
    <w:rsid w:val="00F72204"/>
    <w:rsid w:val="00F739D5"/>
    <w:rsid w:val="00F76FD0"/>
    <w:rsid w:val="00F83660"/>
    <w:rsid w:val="00F83D22"/>
    <w:rsid w:val="00F92571"/>
    <w:rsid w:val="00FA0B40"/>
    <w:rsid w:val="00FA5CFF"/>
    <w:rsid w:val="00FB0D97"/>
    <w:rsid w:val="00FC2119"/>
    <w:rsid w:val="00FC2415"/>
    <w:rsid w:val="00FC3607"/>
    <w:rsid w:val="00FC4D46"/>
    <w:rsid w:val="00FC669C"/>
    <w:rsid w:val="00FC68DC"/>
    <w:rsid w:val="00FC6CE9"/>
    <w:rsid w:val="00FD05AE"/>
    <w:rsid w:val="00FE1E99"/>
    <w:rsid w:val="00FE45FF"/>
    <w:rsid w:val="00FF6113"/>
    <w:rsid w:val="00FF7CC4"/>
    <w:rsid w:val="011B1CB1"/>
    <w:rsid w:val="01205A30"/>
    <w:rsid w:val="01A22175"/>
    <w:rsid w:val="01C009D0"/>
    <w:rsid w:val="02045BAB"/>
    <w:rsid w:val="02110CF8"/>
    <w:rsid w:val="02520E62"/>
    <w:rsid w:val="027A0004"/>
    <w:rsid w:val="02C01A9A"/>
    <w:rsid w:val="02E34E49"/>
    <w:rsid w:val="02E676EC"/>
    <w:rsid w:val="02EE615B"/>
    <w:rsid w:val="0300128E"/>
    <w:rsid w:val="033A763D"/>
    <w:rsid w:val="03793194"/>
    <w:rsid w:val="03944A50"/>
    <w:rsid w:val="03AA4FC4"/>
    <w:rsid w:val="03C96E39"/>
    <w:rsid w:val="03E044FB"/>
    <w:rsid w:val="03EE1362"/>
    <w:rsid w:val="045C1FF4"/>
    <w:rsid w:val="04C23372"/>
    <w:rsid w:val="04F22993"/>
    <w:rsid w:val="0504695E"/>
    <w:rsid w:val="05142673"/>
    <w:rsid w:val="051F6714"/>
    <w:rsid w:val="056E500E"/>
    <w:rsid w:val="05902DBF"/>
    <w:rsid w:val="05D31EBA"/>
    <w:rsid w:val="06031D41"/>
    <w:rsid w:val="061458D2"/>
    <w:rsid w:val="0627728F"/>
    <w:rsid w:val="063C4A1B"/>
    <w:rsid w:val="068D1099"/>
    <w:rsid w:val="06A61376"/>
    <w:rsid w:val="070643E1"/>
    <w:rsid w:val="072906A0"/>
    <w:rsid w:val="072D2DE1"/>
    <w:rsid w:val="075349C0"/>
    <w:rsid w:val="075834E7"/>
    <w:rsid w:val="075C6CA5"/>
    <w:rsid w:val="07832BA1"/>
    <w:rsid w:val="07854DC9"/>
    <w:rsid w:val="07A14D43"/>
    <w:rsid w:val="07A7760A"/>
    <w:rsid w:val="07D83A7D"/>
    <w:rsid w:val="07F83737"/>
    <w:rsid w:val="08347456"/>
    <w:rsid w:val="08767B57"/>
    <w:rsid w:val="08787171"/>
    <w:rsid w:val="08857846"/>
    <w:rsid w:val="089F1540"/>
    <w:rsid w:val="08D472AD"/>
    <w:rsid w:val="08ED702D"/>
    <w:rsid w:val="091066D1"/>
    <w:rsid w:val="0915764C"/>
    <w:rsid w:val="092F692D"/>
    <w:rsid w:val="092F72D9"/>
    <w:rsid w:val="09304FAA"/>
    <w:rsid w:val="09420839"/>
    <w:rsid w:val="094A2EC6"/>
    <w:rsid w:val="09A173F8"/>
    <w:rsid w:val="09B71F48"/>
    <w:rsid w:val="09B9195C"/>
    <w:rsid w:val="09EA39F6"/>
    <w:rsid w:val="0A072323"/>
    <w:rsid w:val="0A60657A"/>
    <w:rsid w:val="0A735F3E"/>
    <w:rsid w:val="0A9F22FC"/>
    <w:rsid w:val="0AC4180A"/>
    <w:rsid w:val="0B1D7215"/>
    <w:rsid w:val="0B512FB6"/>
    <w:rsid w:val="0B5A7B4A"/>
    <w:rsid w:val="0B6414BC"/>
    <w:rsid w:val="0B734D01"/>
    <w:rsid w:val="0BAC5DFB"/>
    <w:rsid w:val="0BD738C6"/>
    <w:rsid w:val="0C496514"/>
    <w:rsid w:val="0CB800A1"/>
    <w:rsid w:val="0CC74FD9"/>
    <w:rsid w:val="0CE71E24"/>
    <w:rsid w:val="0D236902"/>
    <w:rsid w:val="0D2F6B83"/>
    <w:rsid w:val="0D65105E"/>
    <w:rsid w:val="0D6B2B7C"/>
    <w:rsid w:val="0D732DC0"/>
    <w:rsid w:val="0D8F5522"/>
    <w:rsid w:val="0DD96C36"/>
    <w:rsid w:val="0E19368B"/>
    <w:rsid w:val="0E2F3163"/>
    <w:rsid w:val="0E5D23C1"/>
    <w:rsid w:val="0EAD49A7"/>
    <w:rsid w:val="0EC77FFB"/>
    <w:rsid w:val="0ED40972"/>
    <w:rsid w:val="0EF52FF6"/>
    <w:rsid w:val="0F065E81"/>
    <w:rsid w:val="0F3E0105"/>
    <w:rsid w:val="0F54524D"/>
    <w:rsid w:val="0F627B29"/>
    <w:rsid w:val="0F963DB2"/>
    <w:rsid w:val="0FDB784B"/>
    <w:rsid w:val="0FF539C4"/>
    <w:rsid w:val="10264CC1"/>
    <w:rsid w:val="1031254B"/>
    <w:rsid w:val="10414F02"/>
    <w:rsid w:val="108725F8"/>
    <w:rsid w:val="10C629C4"/>
    <w:rsid w:val="10D13F09"/>
    <w:rsid w:val="10DE0B05"/>
    <w:rsid w:val="10E741A0"/>
    <w:rsid w:val="10EF2742"/>
    <w:rsid w:val="10FE2CB3"/>
    <w:rsid w:val="114323B1"/>
    <w:rsid w:val="11472F96"/>
    <w:rsid w:val="114F7D3C"/>
    <w:rsid w:val="11643DC6"/>
    <w:rsid w:val="116D7C8F"/>
    <w:rsid w:val="11836EFB"/>
    <w:rsid w:val="118B4FBF"/>
    <w:rsid w:val="11D12B78"/>
    <w:rsid w:val="11E2795E"/>
    <w:rsid w:val="11F31119"/>
    <w:rsid w:val="12220440"/>
    <w:rsid w:val="12714603"/>
    <w:rsid w:val="12A10CC7"/>
    <w:rsid w:val="12C417AD"/>
    <w:rsid w:val="12E0582D"/>
    <w:rsid w:val="1312761C"/>
    <w:rsid w:val="133B4FB2"/>
    <w:rsid w:val="133B5EF8"/>
    <w:rsid w:val="133C3DD0"/>
    <w:rsid w:val="135E1CC5"/>
    <w:rsid w:val="13644D82"/>
    <w:rsid w:val="137A50D0"/>
    <w:rsid w:val="138311B6"/>
    <w:rsid w:val="13C47EC4"/>
    <w:rsid w:val="13D601D2"/>
    <w:rsid w:val="1436311A"/>
    <w:rsid w:val="145D5190"/>
    <w:rsid w:val="14916C8C"/>
    <w:rsid w:val="14C3225D"/>
    <w:rsid w:val="14CA1511"/>
    <w:rsid w:val="14F1169D"/>
    <w:rsid w:val="14F47E4C"/>
    <w:rsid w:val="15391520"/>
    <w:rsid w:val="155933A4"/>
    <w:rsid w:val="156D10F1"/>
    <w:rsid w:val="1586671B"/>
    <w:rsid w:val="15AE27F3"/>
    <w:rsid w:val="15D51D57"/>
    <w:rsid w:val="15EA5C3B"/>
    <w:rsid w:val="16A13043"/>
    <w:rsid w:val="16BE18D4"/>
    <w:rsid w:val="16C211ED"/>
    <w:rsid w:val="1706559C"/>
    <w:rsid w:val="170725CA"/>
    <w:rsid w:val="17235DFF"/>
    <w:rsid w:val="17361D2A"/>
    <w:rsid w:val="174073F0"/>
    <w:rsid w:val="1761233F"/>
    <w:rsid w:val="176E340B"/>
    <w:rsid w:val="17751F7D"/>
    <w:rsid w:val="17865434"/>
    <w:rsid w:val="17886A58"/>
    <w:rsid w:val="17AA7AE7"/>
    <w:rsid w:val="183C5621"/>
    <w:rsid w:val="18465540"/>
    <w:rsid w:val="18495740"/>
    <w:rsid w:val="188567EF"/>
    <w:rsid w:val="189A6F17"/>
    <w:rsid w:val="18A8048A"/>
    <w:rsid w:val="18A916AA"/>
    <w:rsid w:val="18C27BE5"/>
    <w:rsid w:val="193424D5"/>
    <w:rsid w:val="194849D3"/>
    <w:rsid w:val="198D2F28"/>
    <w:rsid w:val="19E739BE"/>
    <w:rsid w:val="19EB4496"/>
    <w:rsid w:val="19FD5F15"/>
    <w:rsid w:val="1A180280"/>
    <w:rsid w:val="1A204EE5"/>
    <w:rsid w:val="1A612D2C"/>
    <w:rsid w:val="1A646DCF"/>
    <w:rsid w:val="1A66567A"/>
    <w:rsid w:val="1A675D28"/>
    <w:rsid w:val="1A71481D"/>
    <w:rsid w:val="1A736B8B"/>
    <w:rsid w:val="1A9E7257"/>
    <w:rsid w:val="1AA04351"/>
    <w:rsid w:val="1AA57272"/>
    <w:rsid w:val="1AC7227C"/>
    <w:rsid w:val="1AC83653"/>
    <w:rsid w:val="1ACE1944"/>
    <w:rsid w:val="1B4B07D1"/>
    <w:rsid w:val="1B5B6AD7"/>
    <w:rsid w:val="1B841FB4"/>
    <w:rsid w:val="1BB73391"/>
    <w:rsid w:val="1BCC77FF"/>
    <w:rsid w:val="1BDC0FF7"/>
    <w:rsid w:val="1BF80FD0"/>
    <w:rsid w:val="1C0E19EB"/>
    <w:rsid w:val="1C1056B8"/>
    <w:rsid w:val="1C170B71"/>
    <w:rsid w:val="1C9D79B3"/>
    <w:rsid w:val="1CA07F05"/>
    <w:rsid w:val="1CBF296D"/>
    <w:rsid w:val="1CDC1B35"/>
    <w:rsid w:val="1D362BD8"/>
    <w:rsid w:val="1D4E348C"/>
    <w:rsid w:val="1D535C06"/>
    <w:rsid w:val="1DA06AE0"/>
    <w:rsid w:val="1E7654DC"/>
    <w:rsid w:val="1EC45D3D"/>
    <w:rsid w:val="1ED850D8"/>
    <w:rsid w:val="1EDB1E94"/>
    <w:rsid w:val="1EE32C6E"/>
    <w:rsid w:val="1EE71699"/>
    <w:rsid w:val="1EFF2189"/>
    <w:rsid w:val="1F364D3F"/>
    <w:rsid w:val="1FD76B9C"/>
    <w:rsid w:val="203903AF"/>
    <w:rsid w:val="20BD02C4"/>
    <w:rsid w:val="20CC1330"/>
    <w:rsid w:val="20E17432"/>
    <w:rsid w:val="20E55F9D"/>
    <w:rsid w:val="20E71F9A"/>
    <w:rsid w:val="20F700D4"/>
    <w:rsid w:val="218D361E"/>
    <w:rsid w:val="21A8064F"/>
    <w:rsid w:val="21D969D2"/>
    <w:rsid w:val="222600C9"/>
    <w:rsid w:val="226E2973"/>
    <w:rsid w:val="227E0856"/>
    <w:rsid w:val="229E0564"/>
    <w:rsid w:val="22AA35D5"/>
    <w:rsid w:val="22AD07F8"/>
    <w:rsid w:val="22B40811"/>
    <w:rsid w:val="231C72B8"/>
    <w:rsid w:val="237D6A3A"/>
    <w:rsid w:val="23813C79"/>
    <w:rsid w:val="23837EA8"/>
    <w:rsid w:val="23E45806"/>
    <w:rsid w:val="249F0DDC"/>
    <w:rsid w:val="24C53B61"/>
    <w:rsid w:val="24D74C9A"/>
    <w:rsid w:val="24DC3841"/>
    <w:rsid w:val="2509549B"/>
    <w:rsid w:val="250E68CB"/>
    <w:rsid w:val="252018F5"/>
    <w:rsid w:val="25404B77"/>
    <w:rsid w:val="25566BD2"/>
    <w:rsid w:val="25AA4221"/>
    <w:rsid w:val="25BE6D5D"/>
    <w:rsid w:val="26040D1D"/>
    <w:rsid w:val="26756C74"/>
    <w:rsid w:val="26762B84"/>
    <w:rsid w:val="26831F49"/>
    <w:rsid w:val="26A50EAC"/>
    <w:rsid w:val="26E46FDE"/>
    <w:rsid w:val="26ED5FEB"/>
    <w:rsid w:val="27005726"/>
    <w:rsid w:val="27EC49F4"/>
    <w:rsid w:val="28212BDF"/>
    <w:rsid w:val="2825699B"/>
    <w:rsid w:val="28727C37"/>
    <w:rsid w:val="28972DA6"/>
    <w:rsid w:val="28F06E69"/>
    <w:rsid w:val="294951D0"/>
    <w:rsid w:val="298C0093"/>
    <w:rsid w:val="29B07CDF"/>
    <w:rsid w:val="29C63EF5"/>
    <w:rsid w:val="29F7425F"/>
    <w:rsid w:val="2A102746"/>
    <w:rsid w:val="2A152EE7"/>
    <w:rsid w:val="2A62784D"/>
    <w:rsid w:val="2A9F679A"/>
    <w:rsid w:val="2AC73267"/>
    <w:rsid w:val="2AE84EDC"/>
    <w:rsid w:val="2B514D7C"/>
    <w:rsid w:val="2B6A6CB1"/>
    <w:rsid w:val="2B705C79"/>
    <w:rsid w:val="2B8235AE"/>
    <w:rsid w:val="2B843F1D"/>
    <w:rsid w:val="2B8D6F0D"/>
    <w:rsid w:val="2B98280F"/>
    <w:rsid w:val="2BD92719"/>
    <w:rsid w:val="2C282B71"/>
    <w:rsid w:val="2C2D0FF3"/>
    <w:rsid w:val="2C5625D3"/>
    <w:rsid w:val="2C7F577D"/>
    <w:rsid w:val="2CCE75ED"/>
    <w:rsid w:val="2D0B165C"/>
    <w:rsid w:val="2D3D26B7"/>
    <w:rsid w:val="2D6B6B39"/>
    <w:rsid w:val="2D9C073C"/>
    <w:rsid w:val="2DA01915"/>
    <w:rsid w:val="2DAE45FA"/>
    <w:rsid w:val="2DFE18AC"/>
    <w:rsid w:val="2E20688D"/>
    <w:rsid w:val="2E6F6A05"/>
    <w:rsid w:val="2E9B4818"/>
    <w:rsid w:val="2ED252F2"/>
    <w:rsid w:val="2EDA51C3"/>
    <w:rsid w:val="2EEA674F"/>
    <w:rsid w:val="2EEE18B5"/>
    <w:rsid w:val="2F1201A7"/>
    <w:rsid w:val="2F296CF3"/>
    <w:rsid w:val="2F3E224B"/>
    <w:rsid w:val="2F4B4D00"/>
    <w:rsid w:val="2FF5054C"/>
    <w:rsid w:val="2FFD7709"/>
    <w:rsid w:val="30085A89"/>
    <w:rsid w:val="30087B2B"/>
    <w:rsid w:val="301D7787"/>
    <w:rsid w:val="30275C3B"/>
    <w:rsid w:val="30457157"/>
    <w:rsid w:val="304F1A6E"/>
    <w:rsid w:val="30547169"/>
    <w:rsid w:val="30931CD2"/>
    <w:rsid w:val="30C41AC2"/>
    <w:rsid w:val="31083063"/>
    <w:rsid w:val="31343C39"/>
    <w:rsid w:val="31417CB3"/>
    <w:rsid w:val="319E2262"/>
    <w:rsid w:val="31A33D88"/>
    <w:rsid w:val="31A61340"/>
    <w:rsid w:val="31DE2E20"/>
    <w:rsid w:val="31E26794"/>
    <w:rsid w:val="31FB13A7"/>
    <w:rsid w:val="321E2ACE"/>
    <w:rsid w:val="32875583"/>
    <w:rsid w:val="32A77EDB"/>
    <w:rsid w:val="32CA211F"/>
    <w:rsid w:val="32DC6517"/>
    <w:rsid w:val="32DC7485"/>
    <w:rsid w:val="32E429D5"/>
    <w:rsid w:val="33087CF4"/>
    <w:rsid w:val="333A4144"/>
    <w:rsid w:val="334C7F35"/>
    <w:rsid w:val="3371162C"/>
    <w:rsid w:val="338F274A"/>
    <w:rsid w:val="33D82FC0"/>
    <w:rsid w:val="340316D6"/>
    <w:rsid w:val="341912C6"/>
    <w:rsid w:val="342C7CD2"/>
    <w:rsid w:val="3443397A"/>
    <w:rsid w:val="34C504AA"/>
    <w:rsid w:val="34C67A2A"/>
    <w:rsid w:val="35075DF7"/>
    <w:rsid w:val="35123BC5"/>
    <w:rsid w:val="352618A8"/>
    <w:rsid w:val="352D022C"/>
    <w:rsid w:val="357671F8"/>
    <w:rsid w:val="358372F7"/>
    <w:rsid w:val="359D65CE"/>
    <w:rsid w:val="365616D9"/>
    <w:rsid w:val="365A68E4"/>
    <w:rsid w:val="365E0145"/>
    <w:rsid w:val="36D74099"/>
    <w:rsid w:val="372B424D"/>
    <w:rsid w:val="37482D6F"/>
    <w:rsid w:val="375D3BFD"/>
    <w:rsid w:val="378B5F3A"/>
    <w:rsid w:val="379B3F1E"/>
    <w:rsid w:val="37A4253C"/>
    <w:rsid w:val="37CA12D1"/>
    <w:rsid w:val="37D13CBE"/>
    <w:rsid w:val="37DE0D47"/>
    <w:rsid w:val="37ED3B10"/>
    <w:rsid w:val="37FD1FD8"/>
    <w:rsid w:val="387C5237"/>
    <w:rsid w:val="38B642D4"/>
    <w:rsid w:val="38D86ACC"/>
    <w:rsid w:val="38DA38B6"/>
    <w:rsid w:val="38EE1A5A"/>
    <w:rsid w:val="38F17CC3"/>
    <w:rsid w:val="39042240"/>
    <w:rsid w:val="39043D6B"/>
    <w:rsid w:val="39B16E9F"/>
    <w:rsid w:val="39C51BE5"/>
    <w:rsid w:val="3A5A531C"/>
    <w:rsid w:val="3A6F4D12"/>
    <w:rsid w:val="3AC6468A"/>
    <w:rsid w:val="3AE923DB"/>
    <w:rsid w:val="3B1A3291"/>
    <w:rsid w:val="3B7258AC"/>
    <w:rsid w:val="3B9647A4"/>
    <w:rsid w:val="3B9B1AB0"/>
    <w:rsid w:val="3BAB7ADE"/>
    <w:rsid w:val="3BB26B69"/>
    <w:rsid w:val="3BD45297"/>
    <w:rsid w:val="3BE058FC"/>
    <w:rsid w:val="3C0B5842"/>
    <w:rsid w:val="3C6D1C45"/>
    <w:rsid w:val="3C9A1944"/>
    <w:rsid w:val="3CE639E6"/>
    <w:rsid w:val="3CF56848"/>
    <w:rsid w:val="3CFE648A"/>
    <w:rsid w:val="3D2D542C"/>
    <w:rsid w:val="3D4200CF"/>
    <w:rsid w:val="3DA908E3"/>
    <w:rsid w:val="3DB74742"/>
    <w:rsid w:val="3DBC5465"/>
    <w:rsid w:val="3E3C61A6"/>
    <w:rsid w:val="3E3E7246"/>
    <w:rsid w:val="3EBE0FC2"/>
    <w:rsid w:val="3ED26D71"/>
    <w:rsid w:val="3F5530BE"/>
    <w:rsid w:val="3F9246F5"/>
    <w:rsid w:val="3F9D4AA5"/>
    <w:rsid w:val="3FFA719D"/>
    <w:rsid w:val="40267B30"/>
    <w:rsid w:val="40561145"/>
    <w:rsid w:val="4074305B"/>
    <w:rsid w:val="40816E0E"/>
    <w:rsid w:val="408C3F57"/>
    <w:rsid w:val="40C559FD"/>
    <w:rsid w:val="40CE2A45"/>
    <w:rsid w:val="41065219"/>
    <w:rsid w:val="410B3265"/>
    <w:rsid w:val="41146BD4"/>
    <w:rsid w:val="412731CF"/>
    <w:rsid w:val="41BF2722"/>
    <w:rsid w:val="41C170BE"/>
    <w:rsid w:val="41CE268F"/>
    <w:rsid w:val="42093A2D"/>
    <w:rsid w:val="420E3400"/>
    <w:rsid w:val="424E1D18"/>
    <w:rsid w:val="425A11D0"/>
    <w:rsid w:val="428A54D0"/>
    <w:rsid w:val="42D31E73"/>
    <w:rsid w:val="42F80DB9"/>
    <w:rsid w:val="433D5631"/>
    <w:rsid w:val="434920FE"/>
    <w:rsid w:val="43650AEA"/>
    <w:rsid w:val="43721959"/>
    <w:rsid w:val="43832A1F"/>
    <w:rsid w:val="43C152F3"/>
    <w:rsid w:val="43E216A4"/>
    <w:rsid w:val="43EF1957"/>
    <w:rsid w:val="43F65ECD"/>
    <w:rsid w:val="441640A5"/>
    <w:rsid w:val="443166C3"/>
    <w:rsid w:val="444F1338"/>
    <w:rsid w:val="4474456E"/>
    <w:rsid w:val="44AC69DE"/>
    <w:rsid w:val="44AF3BBF"/>
    <w:rsid w:val="44DB0910"/>
    <w:rsid w:val="4507170C"/>
    <w:rsid w:val="45114A92"/>
    <w:rsid w:val="451B4F32"/>
    <w:rsid w:val="459C15D8"/>
    <w:rsid w:val="464D4675"/>
    <w:rsid w:val="467852BF"/>
    <w:rsid w:val="469C5713"/>
    <w:rsid w:val="46BD5D09"/>
    <w:rsid w:val="46BE7851"/>
    <w:rsid w:val="46DA3077"/>
    <w:rsid w:val="470E18F6"/>
    <w:rsid w:val="472445D6"/>
    <w:rsid w:val="47526AC5"/>
    <w:rsid w:val="47BD6B5E"/>
    <w:rsid w:val="47C027B5"/>
    <w:rsid w:val="47D169E9"/>
    <w:rsid w:val="47D53DF1"/>
    <w:rsid w:val="47E55BC7"/>
    <w:rsid w:val="47F67274"/>
    <w:rsid w:val="480B31B5"/>
    <w:rsid w:val="488243C5"/>
    <w:rsid w:val="488D7B4C"/>
    <w:rsid w:val="48943EAA"/>
    <w:rsid w:val="489B1FBE"/>
    <w:rsid w:val="48E96410"/>
    <w:rsid w:val="49830E34"/>
    <w:rsid w:val="499A03C8"/>
    <w:rsid w:val="4A215518"/>
    <w:rsid w:val="4A404346"/>
    <w:rsid w:val="4A6570BA"/>
    <w:rsid w:val="4ABE6400"/>
    <w:rsid w:val="4AD94CFB"/>
    <w:rsid w:val="4B364FF0"/>
    <w:rsid w:val="4B7E4AC6"/>
    <w:rsid w:val="4BE32E10"/>
    <w:rsid w:val="4C4E23F3"/>
    <w:rsid w:val="4C734B9C"/>
    <w:rsid w:val="4CA51255"/>
    <w:rsid w:val="4CA636E5"/>
    <w:rsid w:val="4CFC5137"/>
    <w:rsid w:val="4D2F1722"/>
    <w:rsid w:val="4D3301F0"/>
    <w:rsid w:val="4D420F13"/>
    <w:rsid w:val="4DBC6D55"/>
    <w:rsid w:val="4E082FE7"/>
    <w:rsid w:val="4E134968"/>
    <w:rsid w:val="4E4D4728"/>
    <w:rsid w:val="4E8E7D86"/>
    <w:rsid w:val="4E9D1DEB"/>
    <w:rsid w:val="4EAA0097"/>
    <w:rsid w:val="4EAC675F"/>
    <w:rsid w:val="4EC22C4F"/>
    <w:rsid w:val="4ED00440"/>
    <w:rsid w:val="4EDF1751"/>
    <w:rsid w:val="4EF20330"/>
    <w:rsid w:val="4F07798F"/>
    <w:rsid w:val="4F0D5FEE"/>
    <w:rsid w:val="4F87720D"/>
    <w:rsid w:val="4F9732B2"/>
    <w:rsid w:val="4FC7663F"/>
    <w:rsid w:val="4FF3777C"/>
    <w:rsid w:val="50422DC3"/>
    <w:rsid w:val="507219A9"/>
    <w:rsid w:val="50993BDC"/>
    <w:rsid w:val="509A58F6"/>
    <w:rsid w:val="50DD5829"/>
    <w:rsid w:val="50E81853"/>
    <w:rsid w:val="51465D78"/>
    <w:rsid w:val="5151670C"/>
    <w:rsid w:val="519F2855"/>
    <w:rsid w:val="51E46A43"/>
    <w:rsid w:val="52097723"/>
    <w:rsid w:val="52347EC4"/>
    <w:rsid w:val="523E548E"/>
    <w:rsid w:val="526D4310"/>
    <w:rsid w:val="52BA50DF"/>
    <w:rsid w:val="52FD233D"/>
    <w:rsid w:val="530671AB"/>
    <w:rsid w:val="5319741E"/>
    <w:rsid w:val="53264C56"/>
    <w:rsid w:val="534D4558"/>
    <w:rsid w:val="535629DF"/>
    <w:rsid w:val="536C280F"/>
    <w:rsid w:val="53B353A9"/>
    <w:rsid w:val="53C144E7"/>
    <w:rsid w:val="54024CD1"/>
    <w:rsid w:val="55162991"/>
    <w:rsid w:val="554B7079"/>
    <w:rsid w:val="55897AC3"/>
    <w:rsid w:val="558C60D8"/>
    <w:rsid w:val="55A8559A"/>
    <w:rsid w:val="55BE4D0B"/>
    <w:rsid w:val="55D42BDF"/>
    <w:rsid w:val="56051D81"/>
    <w:rsid w:val="56344315"/>
    <w:rsid w:val="56765ADB"/>
    <w:rsid w:val="568A27A0"/>
    <w:rsid w:val="569C1FC0"/>
    <w:rsid w:val="57147657"/>
    <w:rsid w:val="571F7091"/>
    <w:rsid w:val="57473DF4"/>
    <w:rsid w:val="576E251B"/>
    <w:rsid w:val="57984A33"/>
    <w:rsid w:val="57EB60E4"/>
    <w:rsid w:val="580B43F6"/>
    <w:rsid w:val="584A07B9"/>
    <w:rsid w:val="585C6E35"/>
    <w:rsid w:val="587C1F1D"/>
    <w:rsid w:val="5890458F"/>
    <w:rsid w:val="58CE6D0D"/>
    <w:rsid w:val="58DA7C98"/>
    <w:rsid w:val="592277EB"/>
    <w:rsid w:val="59777BC8"/>
    <w:rsid w:val="597C1D5E"/>
    <w:rsid w:val="59EB3142"/>
    <w:rsid w:val="5A271A62"/>
    <w:rsid w:val="5A325B35"/>
    <w:rsid w:val="5A461812"/>
    <w:rsid w:val="5A4707F4"/>
    <w:rsid w:val="5ABF662D"/>
    <w:rsid w:val="5B083AEF"/>
    <w:rsid w:val="5B2341BC"/>
    <w:rsid w:val="5B334112"/>
    <w:rsid w:val="5B6B0736"/>
    <w:rsid w:val="5B742A7C"/>
    <w:rsid w:val="5B796BC3"/>
    <w:rsid w:val="5BAD3523"/>
    <w:rsid w:val="5BD47C53"/>
    <w:rsid w:val="5BE602AD"/>
    <w:rsid w:val="5C0446E4"/>
    <w:rsid w:val="5C21182E"/>
    <w:rsid w:val="5C4F6C8C"/>
    <w:rsid w:val="5C9C46FB"/>
    <w:rsid w:val="5CE074A3"/>
    <w:rsid w:val="5CED68F1"/>
    <w:rsid w:val="5CF224AE"/>
    <w:rsid w:val="5CFA6C6E"/>
    <w:rsid w:val="5D143B3E"/>
    <w:rsid w:val="5D2F6589"/>
    <w:rsid w:val="5D756B66"/>
    <w:rsid w:val="5D8D5B6D"/>
    <w:rsid w:val="5D8F55FD"/>
    <w:rsid w:val="5D9245FD"/>
    <w:rsid w:val="5DAE5F4E"/>
    <w:rsid w:val="5DC14A16"/>
    <w:rsid w:val="5DE9052F"/>
    <w:rsid w:val="5DF2066C"/>
    <w:rsid w:val="5DFF2272"/>
    <w:rsid w:val="5E1E751B"/>
    <w:rsid w:val="5EE54E9B"/>
    <w:rsid w:val="5F0B2DD5"/>
    <w:rsid w:val="5F0D5A55"/>
    <w:rsid w:val="5F182243"/>
    <w:rsid w:val="5F335D45"/>
    <w:rsid w:val="5F3C0E5D"/>
    <w:rsid w:val="5F7A0282"/>
    <w:rsid w:val="5FEA6747"/>
    <w:rsid w:val="60013FEF"/>
    <w:rsid w:val="601C4952"/>
    <w:rsid w:val="60291CEC"/>
    <w:rsid w:val="60412A2D"/>
    <w:rsid w:val="60967564"/>
    <w:rsid w:val="60AA7DFB"/>
    <w:rsid w:val="60B33CD5"/>
    <w:rsid w:val="60C1457D"/>
    <w:rsid w:val="60E757A9"/>
    <w:rsid w:val="60EA22DA"/>
    <w:rsid w:val="61120392"/>
    <w:rsid w:val="61143F11"/>
    <w:rsid w:val="61BE3084"/>
    <w:rsid w:val="61D55130"/>
    <w:rsid w:val="61E57F97"/>
    <w:rsid w:val="61E75DB8"/>
    <w:rsid w:val="622D097D"/>
    <w:rsid w:val="626831EF"/>
    <w:rsid w:val="62B15E96"/>
    <w:rsid w:val="62BF51E2"/>
    <w:rsid w:val="62D65F7A"/>
    <w:rsid w:val="62D8766B"/>
    <w:rsid w:val="62ED405E"/>
    <w:rsid w:val="633D6225"/>
    <w:rsid w:val="63531638"/>
    <w:rsid w:val="63563D20"/>
    <w:rsid w:val="638210D3"/>
    <w:rsid w:val="63AE3C76"/>
    <w:rsid w:val="63D14AD5"/>
    <w:rsid w:val="641E7A8F"/>
    <w:rsid w:val="644B0860"/>
    <w:rsid w:val="647E29EC"/>
    <w:rsid w:val="64947D72"/>
    <w:rsid w:val="64B20ECF"/>
    <w:rsid w:val="64C2452C"/>
    <w:rsid w:val="65247532"/>
    <w:rsid w:val="655B734D"/>
    <w:rsid w:val="65620DEF"/>
    <w:rsid w:val="65723CAE"/>
    <w:rsid w:val="65B315EC"/>
    <w:rsid w:val="65C21EC0"/>
    <w:rsid w:val="65E409CD"/>
    <w:rsid w:val="65EC4477"/>
    <w:rsid w:val="661009C6"/>
    <w:rsid w:val="661A3351"/>
    <w:rsid w:val="665A3A38"/>
    <w:rsid w:val="6688535A"/>
    <w:rsid w:val="66CE6C29"/>
    <w:rsid w:val="66F745EE"/>
    <w:rsid w:val="671C5C0C"/>
    <w:rsid w:val="672C3AED"/>
    <w:rsid w:val="677F5377"/>
    <w:rsid w:val="678579F1"/>
    <w:rsid w:val="67B60519"/>
    <w:rsid w:val="67C37CA9"/>
    <w:rsid w:val="67D458C3"/>
    <w:rsid w:val="67DD4823"/>
    <w:rsid w:val="67E33AA4"/>
    <w:rsid w:val="680215DB"/>
    <w:rsid w:val="681518B7"/>
    <w:rsid w:val="681A422C"/>
    <w:rsid w:val="68392C37"/>
    <w:rsid w:val="68477102"/>
    <w:rsid w:val="68B61079"/>
    <w:rsid w:val="69651E6B"/>
    <w:rsid w:val="69891DF2"/>
    <w:rsid w:val="69E674FF"/>
    <w:rsid w:val="69EE6C2B"/>
    <w:rsid w:val="6A1B1B6D"/>
    <w:rsid w:val="6A46250A"/>
    <w:rsid w:val="6A5E1D79"/>
    <w:rsid w:val="6A837FD2"/>
    <w:rsid w:val="6B0022A0"/>
    <w:rsid w:val="6B4856AF"/>
    <w:rsid w:val="6B9A0059"/>
    <w:rsid w:val="6BAA0FD2"/>
    <w:rsid w:val="6BAB6A0D"/>
    <w:rsid w:val="6BBB32AD"/>
    <w:rsid w:val="6BBF790C"/>
    <w:rsid w:val="6BD37BD6"/>
    <w:rsid w:val="6BDB55A7"/>
    <w:rsid w:val="6BFE0929"/>
    <w:rsid w:val="6C5E7CC0"/>
    <w:rsid w:val="6C714FD8"/>
    <w:rsid w:val="6C774FA4"/>
    <w:rsid w:val="6C881BF4"/>
    <w:rsid w:val="6C9741B1"/>
    <w:rsid w:val="6CBB3EA0"/>
    <w:rsid w:val="6CC924AF"/>
    <w:rsid w:val="6D822332"/>
    <w:rsid w:val="6D822D69"/>
    <w:rsid w:val="6DA91860"/>
    <w:rsid w:val="6DC45E02"/>
    <w:rsid w:val="6DE634C7"/>
    <w:rsid w:val="6DEC7532"/>
    <w:rsid w:val="6DF078DA"/>
    <w:rsid w:val="6DFA4688"/>
    <w:rsid w:val="6E0F6E9D"/>
    <w:rsid w:val="6E296080"/>
    <w:rsid w:val="6E3D1F52"/>
    <w:rsid w:val="6E4B7FA2"/>
    <w:rsid w:val="6E4E0BEF"/>
    <w:rsid w:val="6E73286E"/>
    <w:rsid w:val="6E755ABD"/>
    <w:rsid w:val="6E92607C"/>
    <w:rsid w:val="6F0124DE"/>
    <w:rsid w:val="6F3B69F4"/>
    <w:rsid w:val="6F737E29"/>
    <w:rsid w:val="6F922E75"/>
    <w:rsid w:val="6FFB087A"/>
    <w:rsid w:val="701209DC"/>
    <w:rsid w:val="705F180B"/>
    <w:rsid w:val="708B64C8"/>
    <w:rsid w:val="708D3804"/>
    <w:rsid w:val="70C644DE"/>
    <w:rsid w:val="71377341"/>
    <w:rsid w:val="7179658F"/>
    <w:rsid w:val="71924BD7"/>
    <w:rsid w:val="71AD5BE0"/>
    <w:rsid w:val="71F136DB"/>
    <w:rsid w:val="71F51AAF"/>
    <w:rsid w:val="72297B74"/>
    <w:rsid w:val="723023AC"/>
    <w:rsid w:val="72387A20"/>
    <w:rsid w:val="725309B8"/>
    <w:rsid w:val="7282415D"/>
    <w:rsid w:val="7293286E"/>
    <w:rsid w:val="72B758F1"/>
    <w:rsid w:val="72EA12BA"/>
    <w:rsid w:val="72F1740F"/>
    <w:rsid w:val="73111F08"/>
    <w:rsid w:val="732847CF"/>
    <w:rsid w:val="738335F7"/>
    <w:rsid w:val="73837542"/>
    <w:rsid w:val="73937F68"/>
    <w:rsid w:val="739417F9"/>
    <w:rsid w:val="73DD6007"/>
    <w:rsid w:val="73EE6ED5"/>
    <w:rsid w:val="73F41B55"/>
    <w:rsid w:val="73FB5C3B"/>
    <w:rsid w:val="743245DE"/>
    <w:rsid w:val="746B70D7"/>
    <w:rsid w:val="74897866"/>
    <w:rsid w:val="74C20EF8"/>
    <w:rsid w:val="74CC5705"/>
    <w:rsid w:val="74DE403A"/>
    <w:rsid w:val="75056112"/>
    <w:rsid w:val="75361384"/>
    <w:rsid w:val="756C44E1"/>
    <w:rsid w:val="75F94F21"/>
    <w:rsid w:val="76134D34"/>
    <w:rsid w:val="762246E4"/>
    <w:rsid w:val="762C1A00"/>
    <w:rsid w:val="7631252D"/>
    <w:rsid w:val="7662101C"/>
    <w:rsid w:val="7663591E"/>
    <w:rsid w:val="768A6244"/>
    <w:rsid w:val="769E03BF"/>
    <w:rsid w:val="769E0E20"/>
    <w:rsid w:val="76A122E5"/>
    <w:rsid w:val="771B3D1D"/>
    <w:rsid w:val="77852F26"/>
    <w:rsid w:val="77887E91"/>
    <w:rsid w:val="779E42D6"/>
    <w:rsid w:val="780A76A4"/>
    <w:rsid w:val="782409C7"/>
    <w:rsid w:val="782749FB"/>
    <w:rsid w:val="7831066C"/>
    <w:rsid w:val="786B697F"/>
    <w:rsid w:val="786F27C2"/>
    <w:rsid w:val="789474AD"/>
    <w:rsid w:val="78B16F07"/>
    <w:rsid w:val="78B9410F"/>
    <w:rsid w:val="78CC1EA3"/>
    <w:rsid w:val="79592D36"/>
    <w:rsid w:val="799C150E"/>
    <w:rsid w:val="7A4F6B39"/>
    <w:rsid w:val="7AA932B4"/>
    <w:rsid w:val="7AC12B27"/>
    <w:rsid w:val="7ACC3C13"/>
    <w:rsid w:val="7ADF1227"/>
    <w:rsid w:val="7B1449A2"/>
    <w:rsid w:val="7B29035B"/>
    <w:rsid w:val="7B3724FD"/>
    <w:rsid w:val="7B414965"/>
    <w:rsid w:val="7B4C1658"/>
    <w:rsid w:val="7B823E79"/>
    <w:rsid w:val="7BC324A4"/>
    <w:rsid w:val="7BD96EDF"/>
    <w:rsid w:val="7BF2108F"/>
    <w:rsid w:val="7C697D10"/>
    <w:rsid w:val="7C6E211C"/>
    <w:rsid w:val="7C6F11A2"/>
    <w:rsid w:val="7CE0777E"/>
    <w:rsid w:val="7CF724CF"/>
    <w:rsid w:val="7D1A5B89"/>
    <w:rsid w:val="7D287BB6"/>
    <w:rsid w:val="7D48358B"/>
    <w:rsid w:val="7D4C6EF7"/>
    <w:rsid w:val="7D542C8D"/>
    <w:rsid w:val="7D584226"/>
    <w:rsid w:val="7D5C33EA"/>
    <w:rsid w:val="7DA35C7A"/>
    <w:rsid w:val="7DB81CB1"/>
    <w:rsid w:val="7DE866D4"/>
    <w:rsid w:val="7DEC192F"/>
    <w:rsid w:val="7E1C3782"/>
    <w:rsid w:val="7E1D3067"/>
    <w:rsid w:val="7E2C79E5"/>
    <w:rsid w:val="7E2D50E2"/>
    <w:rsid w:val="7E3B1D76"/>
    <w:rsid w:val="7E401AED"/>
    <w:rsid w:val="7E58507B"/>
    <w:rsid w:val="7E7F7D53"/>
    <w:rsid w:val="7EA23A50"/>
    <w:rsid w:val="7EB86FA8"/>
    <w:rsid w:val="7EBD2859"/>
    <w:rsid w:val="7ECF118C"/>
    <w:rsid w:val="7EE61546"/>
    <w:rsid w:val="7F0E25B0"/>
    <w:rsid w:val="7F2960B4"/>
    <w:rsid w:val="7F7369A7"/>
    <w:rsid w:val="7F885229"/>
    <w:rsid w:val="7F9F4444"/>
    <w:rsid w:val="7FA95E2D"/>
    <w:rsid w:val="7FE634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qFormat="1" w:uiPriority="99"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paragraph" w:styleId="3">
    <w:name w:val="heading 1"/>
    <w:basedOn w:val="1"/>
    <w:next w:val="1"/>
    <w:link w:val="27"/>
    <w:qFormat/>
    <w:uiPriority w:val="0"/>
    <w:pPr>
      <w:outlineLvl w:val="0"/>
    </w:p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6"/>
    <w:qFormat/>
    <w:uiPriority w:val="0"/>
    <w:pPr>
      <w:keepNext/>
      <w:numPr>
        <w:ilvl w:val="0"/>
        <w:numId w:val="1"/>
      </w:numPr>
      <w:adjustRightInd/>
      <w:spacing w:before="120" w:after="120" w:line="360" w:lineRule="auto"/>
      <w:jc w:val="both"/>
      <w:outlineLvl w:val="3"/>
    </w:pPr>
    <w:rPr>
      <w:rFonts w:ascii="Times New Roman" w:eastAsia="仿宋_GB2312"/>
      <w:b/>
      <w:kern w:val="2"/>
      <w:sz w:val="28"/>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semiHidden/>
    <w:unhideWhenUsed/>
    <w:qFormat/>
    <w:uiPriority w:val="99"/>
    <w:pPr>
      <w:tabs>
        <w:tab w:val="left" w:pos="720"/>
      </w:tabs>
      <w:autoSpaceDE w:val="0"/>
      <w:autoSpaceDN w:val="0"/>
      <w:adjustRightInd w:val="0"/>
      <w:snapToGrid w:val="0"/>
      <w:spacing w:line="360" w:lineRule="auto"/>
      <w:ind w:left="624" w:hanging="624"/>
    </w:pPr>
    <w:rPr>
      <w:rFonts w:ascii="宋体" w:hAnsi="宋体" w:eastAsia="宋体"/>
      <w:color w:val="000000"/>
    </w:rPr>
  </w:style>
  <w:style w:type="paragraph" w:customStyle="1" w:styleId="6">
    <w:name w:val="正文缩进1"/>
    <w:basedOn w:val="1"/>
    <w:link w:val="28"/>
    <w:qFormat/>
    <w:uiPriority w:val="0"/>
    <w:pPr>
      <w:ind w:firstLine="420" w:firstLineChars="200"/>
    </w:p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Document Map"/>
    <w:basedOn w:val="1"/>
    <w:link w:val="81"/>
    <w:qFormat/>
    <w:uiPriority w:val="0"/>
    <w:rPr>
      <w:sz w:val="18"/>
      <w:szCs w:val="18"/>
    </w:rPr>
  </w:style>
  <w:style w:type="paragraph" w:styleId="9">
    <w:name w:val="annotation text"/>
    <w:basedOn w:val="1"/>
    <w:link w:val="78"/>
    <w:qFormat/>
    <w:uiPriority w:val="0"/>
  </w:style>
  <w:style w:type="paragraph" w:styleId="10">
    <w:name w:val="Body Text"/>
    <w:basedOn w:val="1"/>
    <w:next w:val="1"/>
    <w:qFormat/>
    <w:uiPriority w:val="0"/>
    <w:pPr>
      <w:ind w:right="-26"/>
      <w:jc w:val="center"/>
    </w:pPr>
    <w:rPr>
      <w:b/>
      <w:bCs/>
      <w:kern w:val="2"/>
      <w:sz w:val="84"/>
      <w:szCs w:val="84"/>
      <w:lang w:val="zh-CN"/>
    </w:rPr>
  </w:style>
  <w:style w:type="paragraph" w:styleId="11">
    <w:name w:val="Plain Text"/>
    <w:basedOn w:val="1"/>
    <w:link w:val="77"/>
    <w:qFormat/>
    <w:uiPriority w:val="0"/>
    <w:pPr>
      <w:autoSpaceDE/>
      <w:autoSpaceDN/>
      <w:adjustRightInd/>
      <w:jc w:val="both"/>
    </w:pPr>
    <w:rPr>
      <w:rFonts w:hAnsi="Courier New"/>
      <w:kern w:val="2"/>
      <w:sz w:val="21"/>
    </w:rPr>
  </w:style>
  <w:style w:type="paragraph" w:styleId="12">
    <w:name w:val="Balloon Text"/>
    <w:basedOn w:val="1"/>
    <w:link w:val="80"/>
    <w:qFormat/>
    <w:uiPriority w:val="0"/>
    <w:rPr>
      <w:sz w:val="18"/>
      <w:szCs w:val="18"/>
    </w:rPr>
  </w:style>
  <w:style w:type="paragraph" w:styleId="13">
    <w:name w:val="footer"/>
    <w:basedOn w:val="1"/>
    <w:link w:val="33"/>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Times New Roman"/>
      <w:sz w:val="18"/>
    </w:rPr>
  </w:style>
  <w:style w:type="paragraph" w:styleId="15">
    <w:name w:val="toc 1"/>
    <w:basedOn w:val="1"/>
    <w:next w:val="1"/>
    <w:qFormat/>
    <w:uiPriority w:val="0"/>
  </w:style>
  <w:style w:type="paragraph" w:styleId="16">
    <w:name w:val="Body Text Indent 3"/>
    <w:basedOn w:val="1"/>
    <w:semiHidden/>
    <w:unhideWhenUsed/>
    <w:qFormat/>
    <w:uiPriority w:val="99"/>
    <w:pPr>
      <w:autoSpaceDE w:val="0"/>
      <w:autoSpaceDN w:val="0"/>
      <w:adjustRightInd w:val="0"/>
      <w:spacing w:line="360" w:lineRule="auto"/>
      <w:ind w:firstLine="480" w:firstLineChars="200"/>
      <w:jc w:val="left"/>
    </w:pPr>
    <w:rPr>
      <w:rFonts w:ascii="宋体" w:hAnsi="Times New Roman" w:eastAsia="微软雅黑" w:cs="Times New Roman"/>
      <w:kern w:val="0"/>
      <w:sz w:val="24"/>
      <w:szCs w:val="24"/>
    </w:rPr>
  </w:style>
  <w:style w:type="paragraph" w:styleId="17">
    <w:name w:val="Body Text 2"/>
    <w:basedOn w:val="1"/>
    <w:semiHidden/>
    <w:unhideWhenUsed/>
    <w:qFormat/>
    <w:uiPriority w:val="99"/>
    <w:pPr>
      <w:tabs>
        <w:tab w:val="left" w:pos="0"/>
      </w:tabs>
      <w:spacing w:line="400" w:lineRule="atLeast"/>
    </w:pPr>
    <w:rPr>
      <w:rFonts w:ascii="Arial" w:hAnsi="Arial" w:eastAsia="微软雅黑" w:cs="Times New Roman"/>
      <w:color w:val="000000"/>
      <w:szCs w:val="24"/>
    </w:rPr>
  </w:style>
  <w:style w:type="paragraph" w:styleId="18">
    <w:name w:val="Normal (Web)"/>
    <w:basedOn w:val="1"/>
    <w:qFormat/>
    <w:uiPriority w:val="0"/>
    <w:pPr>
      <w:spacing w:beforeAutospacing="1" w:afterAutospacing="1"/>
    </w:pPr>
    <w:rPr>
      <w:rFonts w:ascii="Calibri" w:hAnsi="Calibri"/>
    </w:rPr>
  </w:style>
  <w:style w:type="paragraph" w:styleId="19">
    <w:name w:val="annotation subject"/>
    <w:basedOn w:val="9"/>
    <w:next w:val="9"/>
    <w:link w:val="79"/>
    <w:qFormat/>
    <w:uiPriority w:val="0"/>
    <w:rPr>
      <w:b/>
      <w:bCs/>
    </w:rPr>
  </w:style>
  <w:style w:type="paragraph" w:styleId="20">
    <w:name w:val="Body Text First Indent"/>
    <w:basedOn w:val="10"/>
    <w:semiHidden/>
    <w:unhideWhenUsed/>
    <w:qFormat/>
    <w:uiPriority w:val="99"/>
    <w:pPr>
      <w:spacing w:line="240" w:lineRule="auto"/>
      <w:ind w:firstLine="420" w:firstLineChars="100"/>
    </w:pPr>
    <w:rPr>
      <w:rFonts w:ascii="Times New Roman" w:hAnsi="Times New Roman"/>
    </w:rPr>
  </w:style>
  <w:style w:type="table" w:styleId="22">
    <w:name w:val="Table Grid"/>
    <w:basedOn w:val="21"/>
    <w:qFormat/>
    <w:uiPriority w:val="59"/>
    <w:rPr>
      <w:rFonts w:ascii="Calibri" w:hAnsi="Calibri"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4">
    <w:name w:val="Strong"/>
    <w:qFormat/>
    <w:uiPriority w:val="0"/>
    <w:rPr>
      <w:b/>
      <w:bCs/>
    </w:rPr>
  </w:style>
  <w:style w:type="character" w:styleId="25">
    <w:name w:val="Hyperlink"/>
    <w:qFormat/>
    <w:uiPriority w:val="0"/>
    <w:rPr>
      <w:color w:val="0000FF"/>
      <w:u w:val="single"/>
    </w:rPr>
  </w:style>
  <w:style w:type="character" w:styleId="26">
    <w:name w:val="annotation reference"/>
    <w:qFormat/>
    <w:uiPriority w:val="0"/>
    <w:rPr>
      <w:sz w:val="21"/>
      <w:szCs w:val="21"/>
    </w:rPr>
  </w:style>
  <w:style w:type="character" w:customStyle="1" w:styleId="27">
    <w:name w:val="标题 1 Char"/>
    <w:link w:val="3"/>
    <w:semiHidden/>
    <w:qFormat/>
    <w:uiPriority w:val="0"/>
    <w:rPr>
      <w:rFonts w:ascii="宋体" w:eastAsia="宋体"/>
      <w:sz w:val="24"/>
      <w:szCs w:val="24"/>
      <w:lang w:val="en-US" w:eastAsia="zh-CN" w:bidi="ar-SA"/>
    </w:rPr>
  </w:style>
  <w:style w:type="character" w:customStyle="1" w:styleId="28">
    <w:name w:val="正文缩进 Char"/>
    <w:link w:val="6"/>
    <w:semiHidden/>
    <w:qFormat/>
    <w:uiPriority w:val="0"/>
    <w:rPr>
      <w:rFonts w:ascii="宋体" w:eastAsia="宋体"/>
      <w:sz w:val="24"/>
      <w:szCs w:val="24"/>
      <w:lang w:val="en-US" w:eastAsia="zh-CN" w:bidi="ar-SA"/>
    </w:rPr>
  </w:style>
  <w:style w:type="character" w:customStyle="1" w:styleId="29">
    <w:name w:val="纯文本 Char"/>
    <w:link w:val="30"/>
    <w:semiHidden/>
    <w:qFormat/>
    <w:uiPriority w:val="0"/>
    <w:rPr>
      <w:rFonts w:ascii="宋体" w:hAnsi="Courier New" w:eastAsia="宋体"/>
      <w:kern w:val="2"/>
      <w:sz w:val="21"/>
      <w:szCs w:val="24"/>
      <w:lang w:val="en-US" w:eastAsia="zh-CN" w:bidi="ar-SA"/>
    </w:rPr>
  </w:style>
  <w:style w:type="paragraph" w:customStyle="1" w:styleId="30">
    <w:name w:val="纯文本1"/>
    <w:basedOn w:val="1"/>
    <w:link w:val="29"/>
    <w:qFormat/>
    <w:uiPriority w:val="0"/>
    <w:pPr>
      <w:adjustRightInd/>
      <w:jc w:val="both"/>
    </w:pPr>
    <w:rPr>
      <w:rFonts w:hAnsi="Courier New"/>
      <w:kern w:val="2"/>
      <w:sz w:val="21"/>
    </w:rPr>
  </w:style>
  <w:style w:type="character" w:customStyle="1" w:styleId="31">
    <w:name w:val="正文文本缩进 2 Char"/>
    <w:link w:val="32"/>
    <w:semiHidden/>
    <w:qFormat/>
    <w:uiPriority w:val="0"/>
    <w:rPr>
      <w:rFonts w:ascii="宋体"/>
      <w:sz w:val="24"/>
      <w:szCs w:val="24"/>
    </w:rPr>
  </w:style>
  <w:style w:type="paragraph" w:customStyle="1" w:styleId="32">
    <w:name w:val="正文文本缩进 21"/>
    <w:basedOn w:val="1"/>
    <w:link w:val="31"/>
    <w:qFormat/>
    <w:uiPriority w:val="0"/>
    <w:pPr>
      <w:spacing w:after="120" w:line="480" w:lineRule="auto"/>
      <w:ind w:left="420" w:leftChars="200"/>
    </w:pPr>
  </w:style>
  <w:style w:type="character" w:customStyle="1" w:styleId="33">
    <w:name w:val="页脚 Char"/>
    <w:link w:val="13"/>
    <w:semiHidden/>
    <w:qFormat/>
    <w:uiPriority w:val="0"/>
    <w:rPr>
      <w:rFonts w:ascii="宋体"/>
      <w:sz w:val="18"/>
      <w:szCs w:val="24"/>
    </w:rPr>
  </w:style>
  <w:style w:type="paragraph" w:customStyle="1" w:styleId="34">
    <w:name w:val="批注框文本 Char Char"/>
    <w:basedOn w:val="1"/>
    <w:qFormat/>
    <w:uiPriority w:val="0"/>
    <w:rPr>
      <w:sz w:val="18"/>
      <w:szCs w:val="18"/>
    </w:rPr>
  </w:style>
  <w:style w:type="paragraph" w:customStyle="1" w:styleId="35">
    <w:name w:val="正文文本缩进 31"/>
    <w:basedOn w:val="1"/>
    <w:qFormat/>
    <w:uiPriority w:val="0"/>
    <w:pPr>
      <w:spacing w:line="360" w:lineRule="auto"/>
      <w:ind w:firstLine="480" w:firstLineChars="200"/>
    </w:pPr>
  </w:style>
  <w:style w:type="paragraph" w:customStyle="1" w:styleId="36">
    <w:name w:val="批注主题1"/>
    <w:basedOn w:val="9"/>
    <w:next w:val="9"/>
    <w:qFormat/>
    <w:uiPriority w:val="0"/>
    <w:rPr>
      <w:b/>
      <w:bCs/>
    </w:rPr>
  </w:style>
  <w:style w:type="paragraph" w:customStyle="1" w:styleId="37">
    <w:name w:val="文档结构图1"/>
    <w:basedOn w:val="1"/>
    <w:qFormat/>
    <w:uiPriority w:val="0"/>
    <w:pPr>
      <w:shd w:val="clear" w:color="auto" w:fill="000080"/>
    </w:pPr>
  </w:style>
  <w:style w:type="paragraph" w:customStyle="1" w:styleId="38">
    <w:name w:val="_Style 11"/>
    <w:basedOn w:val="1"/>
    <w:qFormat/>
    <w:uiPriority w:val="0"/>
    <w:pPr>
      <w:adjustRightInd/>
      <w:jc w:val="both"/>
    </w:pPr>
    <w:rPr>
      <w:rFonts w:hAnsi="宋体"/>
      <w:b/>
      <w:kern w:val="2"/>
      <w:sz w:val="28"/>
      <w:szCs w:val="28"/>
    </w:rPr>
  </w:style>
  <w:style w:type="paragraph" w:customStyle="1" w:styleId="39">
    <w:name w:val="普通(网站)1"/>
    <w:basedOn w:val="1"/>
    <w:qFormat/>
    <w:uiPriority w:val="0"/>
    <w:pPr>
      <w:widowControl/>
      <w:adjustRightInd/>
      <w:spacing w:before="100" w:beforeAutospacing="1" w:after="100" w:afterAutospacing="1"/>
    </w:pPr>
    <w:rPr>
      <w:rFonts w:hAnsi="宋体"/>
      <w:sz w:val="15"/>
      <w:szCs w:val="15"/>
    </w:rPr>
  </w:style>
  <w:style w:type="paragraph" w:customStyle="1" w:styleId="40">
    <w:name w:val="索引 11"/>
    <w:basedOn w:val="1"/>
    <w:next w:val="1"/>
    <w:qFormat/>
    <w:uiPriority w:val="0"/>
    <w:pPr>
      <w:adjustRightInd/>
      <w:ind w:left="540" w:leftChars="257"/>
      <w:jc w:val="both"/>
    </w:pPr>
    <w:rPr>
      <w:rFonts w:ascii="Arial" w:hAnsi="Arial" w:cs="Arial"/>
      <w:kern w:val="2"/>
      <w:sz w:val="21"/>
    </w:rPr>
  </w:style>
  <w:style w:type="paragraph" w:customStyle="1" w:styleId="41">
    <w:name w:val="索引标题1"/>
    <w:basedOn w:val="1"/>
    <w:next w:val="40"/>
    <w:qFormat/>
    <w:uiPriority w:val="0"/>
    <w:pPr>
      <w:adjustRightInd/>
      <w:jc w:val="both"/>
    </w:pPr>
    <w:rPr>
      <w:rFonts w:ascii="Times New Roman"/>
      <w:kern w:val="2"/>
      <w:sz w:val="21"/>
      <w:szCs w:val="20"/>
    </w:rPr>
  </w:style>
  <w:style w:type="paragraph" w:customStyle="1" w:styleId="42">
    <w:name w:val="正文文本缩进1"/>
    <w:basedOn w:val="1"/>
    <w:qFormat/>
    <w:uiPriority w:val="0"/>
    <w:pPr>
      <w:adjustRightInd/>
      <w:ind w:left="567" w:leftChars="270"/>
      <w:jc w:val="both"/>
    </w:pPr>
    <w:rPr>
      <w:rFonts w:ascii="Times New Roman"/>
      <w:kern w:val="2"/>
      <w:sz w:val="21"/>
      <w:szCs w:val="20"/>
    </w:rPr>
  </w:style>
  <w:style w:type="paragraph" w:customStyle="1" w:styleId="43">
    <w:name w:val="正文文本 31"/>
    <w:basedOn w:val="1"/>
    <w:qFormat/>
    <w:uiPriority w:val="0"/>
    <w:pPr>
      <w:ind w:right="-26"/>
      <w:jc w:val="center"/>
    </w:pPr>
    <w:rPr>
      <w:b/>
      <w:bCs/>
      <w:color w:val="3366FF"/>
      <w:kern w:val="2"/>
      <w:sz w:val="52"/>
      <w:szCs w:val="52"/>
      <w:lang w:val="zh-CN"/>
    </w:rPr>
  </w:style>
  <w:style w:type="paragraph" w:customStyle="1" w:styleId="44">
    <w:name w:val="1"/>
    <w:basedOn w:val="1"/>
    <w:qFormat/>
    <w:uiPriority w:val="0"/>
    <w:pPr>
      <w:widowControl/>
      <w:adjustRightInd/>
      <w:spacing w:after="160" w:line="240" w:lineRule="exact"/>
    </w:pPr>
    <w:rPr>
      <w:rFonts w:ascii="Verdana" w:hAnsi="Verdana" w:eastAsia="楷体_GB2312"/>
      <w:b/>
      <w:i/>
      <w:iCs/>
      <w:color w:val="000000"/>
      <w:sz w:val="20"/>
      <w:szCs w:val="20"/>
      <w:lang w:eastAsia="en-US"/>
    </w:rPr>
  </w:style>
  <w:style w:type="paragraph" w:customStyle="1" w:styleId="45">
    <w:name w:val="p0"/>
    <w:basedOn w:val="1"/>
    <w:qFormat/>
    <w:uiPriority w:val="0"/>
    <w:pPr>
      <w:widowControl/>
      <w:adjustRightInd/>
      <w:jc w:val="both"/>
    </w:pPr>
    <w:rPr>
      <w:rFonts w:ascii="Times New Roman"/>
      <w:sz w:val="21"/>
      <w:szCs w:val="21"/>
    </w:rPr>
  </w:style>
  <w:style w:type="paragraph" w:customStyle="1" w:styleId="46">
    <w:name w:val="列出段落1"/>
    <w:basedOn w:val="1"/>
    <w:qFormat/>
    <w:uiPriority w:val="0"/>
    <w:pPr>
      <w:ind w:firstLine="420" w:firstLineChars="200"/>
    </w:pPr>
    <w:rPr>
      <w:rFonts w:ascii="Calibri" w:hAnsi="Calibri"/>
      <w:sz w:val="28"/>
      <w:szCs w:val="22"/>
    </w:rPr>
  </w:style>
  <w:style w:type="paragraph" w:customStyle="1" w:styleId="47">
    <w:name w:val="Char Char Char Char Char Char Char Char Char Char Char1 Char Char Char Char"/>
    <w:basedOn w:val="1"/>
    <w:qFormat/>
    <w:uiPriority w:val="0"/>
    <w:pPr>
      <w:tabs>
        <w:tab w:val="left" w:pos="1320"/>
      </w:tabs>
      <w:ind w:left="360" w:hanging="360"/>
    </w:pPr>
    <w:rPr>
      <w:rFonts w:ascii="Times New Roman"/>
      <w:bCs/>
    </w:rPr>
  </w:style>
  <w:style w:type="paragraph" w:customStyle="1" w:styleId="48">
    <w:name w:val="GP正文(无首行缩进)"/>
    <w:qFormat/>
    <w:uiPriority w:val="0"/>
    <w:pPr>
      <w:widowControl w:val="0"/>
      <w:spacing w:line="360" w:lineRule="auto"/>
    </w:pPr>
    <w:rPr>
      <w:rFonts w:ascii="Times New Roman" w:hAnsi="Times New Roman" w:eastAsia="宋体" w:cs="Times New Roman"/>
      <w:kern w:val="2"/>
      <w:sz w:val="24"/>
      <w:szCs w:val="21"/>
      <w:lang w:val="en-US" w:eastAsia="zh-CN" w:bidi="ar-SA"/>
    </w:rPr>
  </w:style>
  <w:style w:type="paragraph" w:customStyle="1" w:styleId="49">
    <w:name w:val="题注5"/>
    <w:basedOn w:val="1"/>
    <w:next w:val="7"/>
    <w:qFormat/>
    <w:uiPriority w:val="0"/>
    <w:pPr>
      <w:adjustRightInd/>
      <w:jc w:val="center"/>
    </w:pPr>
    <w:rPr>
      <w:rFonts w:ascii="Times New Roman"/>
      <w:b/>
      <w:color w:val="000000"/>
      <w:kern w:val="2"/>
      <w:szCs w:val="21"/>
    </w:rPr>
  </w:style>
  <w:style w:type="paragraph" w:customStyle="1" w:styleId="50">
    <w:name w:val="Char Char Char Char Char Char Char Char Char Char"/>
    <w:basedOn w:val="1"/>
    <w:qFormat/>
    <w:uiPriority w:val="0"/>
    <w:pPr>
      <w:widowControl/>
      <w:adjustRightInd/>
      <w:spacing w:after="160" w:line="240" w:lineRule="exact"/>
    </w:pPr>
  </w:style>
  <w:style w:type="paragraph" w:customStyle="1" w:styleId="51">
    <w:name w:val="图"/>
    <w:basedOn w:val="1"/>
    <w:qFormat/>
    <w:uiPriority w:val="0"/>
    <w:pPr>
      <w:keepNext/>
      <w:spacing w:before="60" w:after="60" w:line="300" w:lineRule="auto"/>
      <w:jc w:val="center"/>
      <w:textAlignment w:val="center"/>
    </w:pPr>
    <w:rPr>
      <w:rFonts w:ascii="Times New Roman"/>
      <w:snapToGrid w:val="0"/>
      <w:spacing w:val="20"/>
      <w:szCs w:val="20"/>
    </w:rPr>
  </w:style>
  <w:style w:type="paragraph" w:customStyle="1" w:styleId="52">
    <w:name w:val="p15"/>
    <w:basedOn w:val="1"/>
    <w:qFormat/>
    <w:uiPriority w:val="0"/>
    <w:pPr>
      <w:widowControl/>
      <w:adjustRightInd/>
      <w:spacing w:before="100" w:after="100"/>
    </w:pPr>
    <w:rPr>
      <w:rFonts w:hAnsi="宋体" w:cs="宋体"/>
    </w:rPr>
  </w:style>
  <w:style w:type="paragraph" w:customStyle="1" w:styleId="53">
    <w:name w:val="列出段落2"/>
    <w:basedOn w:val="1"/>
    <w:qFormat/>
    <w:uiPriority w:val="0"/>
    <w:pPr>
      <w:adjustRightInd/>
      <w:ind w:firstLine="420" w:firstLineChars="200"/>
      <w:jc w:val="both"/>
    </w:pPr>
    <w:rPr>
      <w:rFonts w:ascii="Calibri" w:hAnsi="Calibri"/>
      <w:kern w:val="2"/>
      <w:sz w:val="21"/>
      <w:szCs w:val="22"/>
    </w:rPr>
  </w:style>
  <w:style w:type="paragraph" w:customStyle="1" w:styleId="54">
    <w:name w:val="保留正文"/>
    <w:basedOn w:val="10"/>
    <w:qFormat/>
    <w:uiPriority w:val="0"/>
    <w:pPr>
      <w:keepNext/>
      <w:adjustRightInd/>
      <w:spacing w:after="160"/>
      <w:ind w:right="0"/>
      <w:jc w:val="both"/>
    </w:pPr>
    <w:rPr>
      <w:rFonts w:ascii="Times New Roman"/>
      <w:b w:val="0"/>
      <w:bCs w:val="0"/>
      <w:sz w:val="21"/>
      <w:szCs w:val="24"/>
      <w:lang w:val="en-US"/>
    </w:rPr>
  </w:style>
  <w:style w:type="paragraph" w:customStyle="1" w:styleId="55">
    <w:name w:val="Char Char Char Char Char Char Char Char Char Char1"/>
    <w:basedOn w:val="1"/>
    <w:qFormat/>
    <w:uiPriority w:val="0"/>
    <w:pPr>
      <w:widowControl/>
      <w:adjustRightInd/>
      <w:spacing w:after="160" w:line="240" w:lineRule="exact"/>
    </w:pPr>
  </w:style>
  <w:style w:type="paragraph" w:customStyle="1" w:styleId="56">
    <w:name w:val="_Style 34"/>
    <w:basedOn w:val="1"/>
    <w:qFormat/>
    <w:uiPriority w:val="0"/>
    <w:pPr>
      <w:numPr>
        <w:ilvl w:val="0"/>
        <w:numId w:val="2"/>
      </w:numPr>
      <w:adjustRightInd/>
      <w:jc w:val="both"/>
    </w:pPr>
    <w:rPr>
      <w:rFonts w:ascii="Times New Roman"/>
      <w:kern w:val="2"/>
    </w:rPr>
  </w:style>
  <w:style w:type="paragraph" w:customStyle="1" w:styleId="57">
    <w:name w:val="表格文字"/>
    <w:basedOn w:val="58"/>
    <w:next w:val="10"/>
    <w:qFormat/>
    <w:uiPriority w:val="0"/>
    <w:pPr>
      <w:adjustRightInd/>
      <w:spacing w:before="25" w:after="25"/>
    </w:pPr>
    <w:rPr>
      <w:rFonts w:ascii="Times New Roman"/>
      <w:bCs/>
      <w:spacing w:val="10"/>
      <w:szCs w:val="20"/>
    </w:rPr>
  </w:style>
  <w:style w:type="paragraph" w:customStyle="1" w:styleId="58">
    <w:name w:val="正文 New New New New New New New New New New New New New New New New New New New New New New New New New New New New New New New New New New New New"/>
    <w:next w:val="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_Style 1"/>
    <w:basedOn w:val="1"/>
    <w:qFormat/>
    <w:uiPriority w:val="0"/>
    <w:pPr>
      <w:widowControl/>
      <w:spacing w:after="160" w:line="240" w:lineRule="exact"/>
    </w:pPr>
  </w:style>
  <w:style w:type="paragraph" w:customStyle="1" w:styleId="60">
    <w:name w:val="p16"/>
    <w:basedOn w:val="1"/>
    <w:qFormat/>
    <w:uiPriority w:val="0"/>
    <w:pPr>
      <w:widowControl/>
      <w:adjustRightInd/>
    </w:pPr>
    <w:rPr>
      <w:rFonts w:ascii="Calibri" w:hAnsi="Calibri" w:cs="宋体"/>
    </w:rPr>
  </w:style>
  <w:style w:type="character" w:customStyle="1" w:styleId="61">
    <w:name w:val="页码1"/>
    <w:basedOn w:val="23"/>
    <w:qFormat/>
    <w:uiPriority w:val="0"/>
  </w:style>
  <w:style w:type="character" w:customStyle="1" w:styleId="62">
    <w:name w:val="批注引用1"/>
    <w:qFormat/>
    <w:uiPriority w:val="0"/>
    <w:rPr>
      <w:sz w:val="21"/>
      <w:szCs w:val="21"/>
    </w:rPr>
  </w:style>
  <w:style w:type="character" w:customStyle="1" w:styleId="63">
    <w:name w:val="普通文字 Char Char1"/>
    <w:qFormat/>
    <w:uiPriority w:val="0"/>
    <w:rPr>
      <w:rFonts w:ascii="宋体" w:hAnsi="Courier New" w:eastAsia="宋体"/>
      <w:kern w:val="2"/>
      <w:sz w:val="21"/>
      <w:szCs w:val="24"/>
      <w:lang w:val="en-US" w:eastAsia="zh-CN" w:bidi="ar-SA"/>
    </w:rPr>
  </w:style>
  <w:style w:type="character" w:customStyle="1" w:styleId="64">
    <w:name w:val="font21"/>
    <w:qFormat/>
    <w:uiPriority w:val="0"/>
    <w:rPr>
      <w:rFonts w:hint="default" w:ascii="Times New Roman" w:hAnsi="Times New Roman" w:eastAsia="宋体" w:cs="Times New Roman"/>
      <w:color w:val="000000"/>
      <w:kern w:val="2"/>
      <w:sz w:val="21"/>
      <w:szCs w:val="21"/>
      <w:u w:val="none"/>
      <w:lang w:val="en-US" w:eastAsia="zh-CN" w:bidi="ar-SA"/>
    </w:rPr>
  </w:style>
  <w:style w:type="character" w:customStyle="1" w:styleId="65">
    <w:name w:val="style711"/>
    <w:qFormat/>
    <w:uiPriority w:val="0"/>
    <w:rPr>
      <w:rFonts w:eastAsia="宋体"/>
      <w:color w:val="000000"/>
      <w:kern w:val="2"/>
      <w:sz w:val="18"/>
      <w:szCs w:val="18"/>
      <w:lang w:val="en-US" w:eastAsia="zh-CN" w:bidi="ar-SA"/>
    </w:rPr>
  </w:style>
  <w:style w:type="character" w:customStyle="1" w:styleId="66">
    <w:name w:val="style21"/>
    <w:qFormat/>
    <w:uiPriority w:val="0"/>
    <w:rPr>
      <w:rFonts w:eastAsia="宋体"/>
      <w:b/>
      <w:color w:val="0060A6"/>
      <w:kern w:val="2"/>
      <w:sz w:val="18"/>
      <w:szCs w:val="18"/>
      <w:lang w:val="en-US" w:eastAsia="zh-CN" w:bidi="ar-SA"/>
    </w:rPr>
  </w:style>
  <w:style w:type="character" w:customStyle="1" w:styleId="67">
    <w:name w:val="Char Char"/>
    <w:qFormat/>
    <w:uiPriority w:val="0"/>
    <w:rPr>
      <w:rFonts w:ascii="宋体" w:hAnsi="Courier New" w:eastAsia="宋体"/>
      <w:kern w:val="2"/>
      <w:sz w:val="21"/>
      <w:szCs w:val="24"/>
      <w:lang w:val="en-US" w:eastAsia="zh-CN" w:bidi="ar-SA"/>
    </w:rPr>
  </w:style>
  <w:style w:type="character" w:customStyle="1" w:styleId="68">
    <w:name w:val="err-product5"/>
    <w:qFormat/>
    <w:uiPriority w:val="0"/>
    <w:rPr>
      <w:rFonts w:eastAsia="宋体"/>
      <w:kern w:val="2"/>
      <w:sz w:val="24"/>
      <w:szCs w:val="24"/>
      <w:lang w:val="en-US" w:eastAsia="zh-CN" w:bidi="ar-SA"/>
    </w:rPr>
  </w:style>
  <w:style w:type="character" w:customStyle="1" w:styleId="69">
    <w:name w:val="param-name1"/>
    <w:qFormat/>
    <w:uiPriority w:val="0"/>
    <w:rPr>
      <w:rFonts w:eastAsia="宋体"/>
      <w:b/>
      <w:kern w:val="2"/>
      <w:sz w:val="24"/>
      <w:szCs w:val="24"/>
      <w:lang w:val="en-US" w:eastAsia="zh-CN" w:bidi="ar-SA"/>
    </w:rPr>
  </w:style>
  <w:style w:type="character" w:customStyle="1" w:styleId="70">
    <w:name w:val="style72"/>
    <w:qFormat/>
    <w:uiPriority w:val="0"/>
    <w:rPr>
      <w:rFonts w:eastAsia="宋体"/>
      <w:color w:val="666666"/>
      <w:kern w:val="2"/>
      <w:sz w:val="18"/>
      <w:szCs w:val="18"/>
      <w:lang w:val="en-US" w:eastAsia="zh-CN" w:bidi="ar-SA"/>
    </w:rPr>
  </w:style>
  <w:style w:type="character" w:customStyle="1" w:styleId="71">
    <w:name w:val="font31"/>
    <w:basedOn w:val="23"/>
    <w:qFormat/>
    <w:uiPriority w:val="0"/>
    <w:rPr>
      <w:rFonts w:hint="eastAsia" w:ascii="宋体" w:hAnsi="宋体" w:eastAsia="宋体" w:cs="宋体"/>
      <w:color w:val="000000"/>
      <w:kern w:val="2"/>
      <w:sz w:val="21"/>
      <w:szCs w:val="21"/>
      <w:u w:val="none"/>
      <w:lang w:val="en-US" w:eastAsia="zh-CN" w:bidi="ar-SA"/>
    </w:rPr>
  </w:style>
  <w:style w:type="character" w:customStyle="1" w:styleId="72">
    <w:name w:val="font41"/>
    <w:qFormat/>
    <w:uiPriority w:val="0"/>
    <w:rPr>
      <w:rFonts w:ascii="宋体" w:hAnsi="宋体" w:eastAsia="宋体" w:cs="宋体"/>
      <w:color w:val="000000"/>
      <w:sz w:val="21"/>
      <w:szCs w:val="21"/>
      <w:u w:val="none"/>
    </w:rPr>
  </w:style>
  <w:style w:type="paragraph" w:customStyle="1" w:styleId="73">
    <w:name w:val="普通(网站)11"/>
    <w:basedOn w:val="1"/>
    <w:qFormat/>
    <w:uiPriority w:val="99"/>
    <w:pPr>
      <w:widowControl/>
      <w:adjustRightInd/>
      <w:spacing w:before="100" w:beforeAutospacing="1" w:after="100" w:afterAutospacing="1"/>
    </w:pPr>
    <w:rPr>
      <w:rFonts w:hAnsi="宋体"/>
      <w:sz w:val="15"/>
      <w:szCs w:val="15"/>
    </w:rPr>
  </w:style>
  <w:style w:type="paragraph" w:customStyle="1" w:styleId="74">
    <w:name w:val="Default"/>
    <w:qFormat/>
    <w:uiPriority w:val="99"/>
    <w:pPr>
      <w:widowControl w:val="0"/>
      <w:autoSpaceDE w:val="0"/>
      <w:autoSpaceDN w:val="0"/>
      <w:adjustRightInd w:val="0"/>
    </w:pPr>
    <w:rPr>
      <w:rFonts w:ascii="宋体_." w:hAnsi="Calibri" w:eastAsia="宋体_." w:cs="宋体_."/>
      <w:color w:val="000000"/>
      <w:sz w:val="24"/>
      <w:szCs w:val="24"/>
      <w:lang w:val="en-US" w:eastAsia="zh-CN" w:bidi="ar-SA"/>
    </w:rPr>
  </w:style>
  <w:style w:type="character" w:customStyle="1" w:styleId="75">
    <w:name w:val="font11"/>
    <w:qFormat/>
    <w:uiPriority w:val="0"/>
    <w:rPr>
      <w:rFonts w:ascii="Tahoma" w:hAnsi="Tahoma" w:eastAsia="Tahoma" w:cs="Tahoma"/>
      <w:color w:val="000000"/>
      <w:sz w:val="20"/>
      <w:szCs w:val="20"/>
      <w:u w:val="none"/>
    </w:rPr>
  </w:style>
  <w:style w:type="character" w:customStyle="1" w:styleId="76">
    <w:name w:val="font01"/>
    <w:qFormat/>
    <w:uiPriority w:val="0"/>
    <w:rPr>
      <w:rFonts w:hint="eastAsia" w:ascii="宋体" w:hAnsi="宋体" w:eastAsia="宋体" w:cs="宋体"/>
      <w:color w:val="000000"/>
      <w:sz w:val="21"/>
      <w:szCs w:val="21"/>
      <w:u w:val="none"/>
    </w:rPr>
  </w:style>
  <w:style w:type="character" w:customStyle="1" w:styleId="77">
    <w:name w:val="纯文本 Char1"/>
    <w:link w:val="11"/>
    <w:qFormat/>
    <w:uiPriority w:val="0"/>
    <w:rPr>
      <w:rFonts w:ascii="宋体" w:hAnsi="Courier New"/>
      <w:kern w:val="2"/>
      <w:sz w:val="21"/>
      <w:szCs w:val="24"/>
    </w:rPr>
  </w:style>
  <w:style w:type="character" w:customStyle="1" w:styleId="78">
    <w:name w:val="批注文字 Char"/>
    <w:link w:val="9"/>
    <w:qFormat/>
    <w:uiPriority w:val="0"/>
    <w:rPr>
      <w:rFonts w:ascii="宋体"/>
      <w:sz w:val="24"/>
      <w:szCs w:val="24"/>
    </w:rPr>
  </w:style>
  <w:style w:type="character" w:customStyle="1" w:styleId="79">
    <w:name w:val="批注主题 Char"/>
    <w:link w:val="19"/>
    <w:qFormat/>
    <w:uiPriority w:val="0"/>
    <w:rPr>
      <w:rFonts w:ascii="宋体"/>
      <w:b/>
      <w:bCs/>
      <w:sz w:val="24"/>
      <w:szCs w:val="24"/>
    </w:rPr>
  </w:style>
  <w:style w:type="character" w:customStyle="1" w:styleId="80">
    <w:name w:val="批注框文本 Char"/>
    <w:link w:val="12"/>
    <w:qFormat/>
    <w:uiPriority w:val="0"/>
    <w:rPr>
      <w:rFonts w:ascii="宋体"/>
      <w:sz w:val="18"/>
      <w:szCs w:val="18"/>
    </w:rPr>
  </w:style>
  <w:style w:type="character" w:customStyle="1" w:styleId="81">
    <w:name w:val="文档结构图 Char"/>
    <w:basedOn w:val="23"/>
    <w:link w:val="8"/>
    <w:qFormat/>
    <w:uiPriority w:val="0"/>
    <w:rPr>
      <w:rFonts w:ascii="宋体"/>
      <w:sz w:val="18"/>
      <w:szCs w:val="18"/>
    </w:rPr>
  </w:style>
  <w:style w:type="paragraph" w:styleId="82">
    <w:name w:val="List Paragraph"/>
    <w:basedOn w:val="1"/>
    <w:qFormat/>
    <w:uiPriority w:val="34"/>
    <w:pPr>
      <w:autoSpaceDE/>
      <w:autoSpaceDN/>
      <w:adjustRightInd/>
      <w:ind w:firstLine="420" w:firstLineChars="200"/>
      <w:jc w:val="both"/>
    </w:pPr>
    <w:rPr>
      <w:rFonts w:hAnsi="宋体"/>
      <w:b/>
      <w:kern w:val="2"/>
      <w:sz w:val="21"/>
    </w:rPr>
  </w:style>
  <w:style w:type="character" w:customStyle="1" w:styleId="83">
    <w:name w:val="fontstyle01"/>
    <w:basedOn w:val="23"/>
    <w:qFormat/>
    <w:uiPriority w:val="0"/>
    <w:rPr>
      <w:rFonts w:hint="eastAsia" w:ascii="宋体" w:hAnsi="宋体" w:eastAsia="宋体"/>
      <w:color w:val="000000"/>
      <w:sz w:val="28"/>
      <w:szCs w:val="28"/>
    </w:rPr>
  </w:style>
  <w:style w:type="paragraph" w:customStyle="1" w:styleId="84">
    <w:name w:val="_Style 3"/>
    <w:next w:val="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条一"/>
    <w:basedOn w:val="3"/>
    <w:qFormat/>
    <w:uiPriority w:val="0"/>
    <w:pPr>
      <w:spacing w:before="0" w:after="0" w:line="300" w:lineRule="auto"/>
    </w:pPr>
    <w:rPr>
      <w:rFonts w:ascii="宋体" w:hAnsi="宋体" w:cstheme="minorBidi"/>
      <w:sz w:val="21"/>
      <w:szCs w:val="21"/>
    </w:rPr>
  </w:style>
  <w:style w:type="paragraph" w:customStyle="1" w:styleId="86">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32319</Words>
  <Characters>33567</Characters>
  <Lines>286</Lines>
  <Paragraphs>80</Paragraphs>
  <TotalTime>12</TotalTime>
  <ScaleCrop>false</ScaleCrop>
  <LinksUpToDate>false</LinksUpToDate>
  <CharactersWithSpaces>34459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2021-04-28T02:44:00Z</dcterms:created>
  <dc:creator>Administrator</dc:creator>
  <cp:lastModifiedBy>xiao</cp:lastModifiedBy>
  <cp:lastPrinted>2022-10-14T05:08:00Z</cp:lastPrinted>
  <dcterms:modified xsi:type="dcterms:W3CDTF">2023-04-07T03:30:02Z</dcterms:modified>
  <dc:title>walkinnet</dc:title>
  <cp:revision>179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D83E15078FA441B98A80320362536EFB_13</vt:lpwstr>
  </property>
</Properties>
</file>