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440201-2025-00750</w:t>
      </w:r>
    </w:p>
    <w:p>
      <w:pPr>
        <w:pStyle w:val="null3"/>
        <w:jc w:val="center"/>
        <w:outlineLvl w:val="3"/>
      </w:pPr>
      <w:r>
        <w:rPr>
          <w:sz w:val="24"/>
          <w:b/>
        </w:rPr>
        <w:t>采购项目编号：</w:t>
      </w:r>
      <w:r>
        <w:rPr>
          <w:sz w:val="24"/>
          <w:b/>
        </w:rPr>
        <w:t>GDYD250042</w:t>
      </w:r>
    </w:p>
    <w:p>
      <w:pPr>
        <w:pStyle w:val="null3"/>
        <w:jc w:val="center"/>
        <w:outlineLvl w:val="3"/>
      </w:pPr>
      <w:r>
        <w:rPr>
          <w:sz w:val="24"/>
          <w:b/>
        </w:rPr>
        <w:t>项目名称：</w:t>
      </w:r>
      <w:r>
        <w:rPr>
          <w:sz w:val="24"/>
          <w:b/>
        </w:rPr>
        <w:t>2025年韶关市市级食品安全抽检服务项目</w:t>
      </w:r>
    </w:p>
    <w:p>
      <w:pPr>
        <w:pStyle w:val="null3"/>
        <w:jc w:val="center"/>
        <w:outlineLvl w:val="3"/>
      </w:pPr>
      <w:r>
        <w:rPr>
          <w:sz w:val="24"/>
          <w:b/>
        </w:rPr>
        <w:t>采购人：</w:t>
      </w:r>
      <w:r>
        <w:rPr>
          <w:sz w:val="24"/>
          <w:b/>
        </w:rPr>
        <w:t>韶关市市场监督管理局</w:t>
      </w:r>
    </w:p>
    <w:p>
      <w:pPr>
        <w:pStyle w:val="null3"/>
        <w:jc w:val="center"/>
        <w:outlineLvl w:val="3"/>
      </w:pPr>
      <w:r>
        <w:rPr>
          <w:sz w:val="24"/>
          <w:b/>
        </w:rPr>
        <w:t>采购代理机构：</w:t>
      </w:r>
      <w:r>
        <w:rPr>
          <w:sz w:val="24"/>
          <w:b/>
        </w:rPr>
        <w:t>广东远东招标代理有限公司韶关分公司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广东远东招标代理有限公司韶关分公司</w:t>
      </w:r>
      <w:r>
        <w:rPr/>
        <w:t>受</w:t>
      </w:r>
      <w:r>
        <w:rPr/>
        <w:t>韶关市市场监督管理局</w:t>
      </w:r>
      <w:r>
        <w:rPr/>
        <w:t>的委托，采用</w:t>
      </w:r>
      <w:r>
        <w:rPr/>
        <w:t>公开招标</w:t>
      </w:r>
      <w:r>
        <w:rPr/>
        <w:t>方式组织采购</w:t>
      </w:r>
      <w:r>
        <w:rPr/>
        <w:t>2025年韶关市市级食品安全抽检服务项目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2025年韶关市市级食品安全抽检服务项目</w:t>
      </w:r>
    </w:p>
    <w:p>
      <w:pPr>
        <w:pStyle w:val="null3"/>
        <w:ind w:firstLine="480"/>
      </w:pPr>
      <w:r>
        <w:rPr/>
        <w:t>采购计划编号：</w:t>
      </w:r>
      <w:r>
        <w:rPr/>
        <w:t>440201-2025-00750</w:t>
      </w:r>
    </w:p>
    <w:p>
      <w:pPr>
        <w:pStyle w:val="null3"/>
        <w:ind w:firstLine="480"/>
      </w:pPr>
      <w:r>
        <w:rPr/>
        <w:t>采购项目编号：</w:t>
      </w:r>
      <w:r>
        <w:rPr/>
        <w:t>GDYD250042</w:t>
      </w:r>
    </w:p>
    <w:p>
      <w:pPr>
        <w:pStyle w:val="null3"/>
        <w:ind w:firstLine="480"/>
      </w:pPr>
      <w:r>
        <w:rPr/>
        <w:t>采购方式：</w:t>
      </w:r>
      <w:r>
        <w:rPr/>
        <w:t>公开招标</w:t>
      </w:r>
    </w:p>
    <w:p>
      <w:pPr>
        <w:pStyle w:val="null3"/>
        <w:ind w:firstLine="480"/>
      </w:pPr>
      <w:r>
        <w:rPr/>
        <w:t>预算金额：</w:t>
      </w:r>
      <w:r>
        <w:rPr/>
        <w:t>2,640,000.00</w:t>
      </w:r>
      <w:r>
        <w:rPr/>
        <w:t>元</w:t>
      </w:r>
    </w:p>
    <w:p>
      <w:pPr>
        <w:pStyle w:val="null3"/>
        <w:outlineLvl w:val="3"/>
      </w:pPr>
      <w:r>
        <w:rPr>
          <w:sz w:val="24"/>
          <w:b/>
        </w:rPr>
        <w:t>2.项目内容及需求情况（采购项目技术规格、参数及要求）</w:t>
      </w:r>
    </w:p>
    <w:p>
      <w:pPr>
        <w:pStyle w:val="null3"/>
      </w:pPr>
      <w:r>
        <w:rPr/>
        <w:t>采购包1(食用农产品、餐饮环节食品抽检):</w:t>
      </w:r>
    </w:p>
    <w:p>
      <w:pPr>
        <w:pStyle w:val="null3"/>
      </w:pPr>
      <w:r>
        <w:rPr/>
        <w:t>采购包预算金额：910,000.00元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技术测试和分析服务</w:t>
            </w:r>
          </w:p>
        </w:tc>
        <w:tc>
          <w:tcPr>
            <w:tcW w:type="dxa" w:w="2052"/>
          </w:tcPr>
          <w:p>
            <w:pPr>
              <w:pStyle w:val="null3"/>
            </w:pPr>
            <w:r>
              <w:rPr/>
              <w:t>食用农产品、餐饮环节食品抽检</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910,000.00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合同履行期限：合同签订之日起至2025年12月31日。具体时间以所签订的合同约定时间为准。</w:t>
      </w:r>
    </w:p>
    <w:p>
      <w:pPr>
        <w:pStyle w:val="null3"/>
      </w:pPr>
      <w:r>
        <w:rPr/>
        <w:t>采购包2(食用农产品、流通环节食品抽检):</w:t>
      </w:r>
    </w:p>
    <w:p>
      <w:pPr>
        <w:pStyle w:val="null3"/>
      </w:pPr>
      <w:r>
        <w:rPr/>
        <w:t>采购包预算金额：890,000.00元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技术测试和分析服务</w:t>
            </w:r>
          </w:p>
        </w:tc>
        <w:tc>
          <w:tcPr>
            <w:tcW w:type="dxa" w:w="2052"/>
          </w:tcPr>
          <w:p>
            <w:pPr>
              <w:pStyle w:val="null3"/>
            </w:pPr>
            <w:r>
              <w:rPr/>
              <w:t>食用农产品、流通环节食品抽检</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890,000.00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合同履行期限：合同签订之日起至2025年12月31日。具体时间以所签订的合同约定时间为准。</w:t>
      </w:r>
    </w:p>
    <w:p>
      <w:pPr>
        <w:pStyle w:val="null3"/>
      </w:pPr>
      <w:r>
        <w:rPr/>
        <w:t>采购包3(食用农产品、生产（小作坊）环节食品抽检):</w:t>
      </w:r>
    </w:p>
    <w:p>
      <w:pPr>
        <w:pStyle w:val="null3"/>
      </w:pPr>
      <w:r>
        <w:rPr/>
        <w:t>采购包预算金额：840,000.00元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技术测试和分析服务</w:t>
            </w:r>
          </w:p>
        </w:tc>
        <w:tc>
          <w:tcPr>
            <w:tcW w:type="dxa" w:w="2052"/>
          </w:tcPr>
          <w:p>
            <w:pPr>
              <w:pStyle w:val="null3"/>
            </w:pPr>
            <w:r>
              <w:rPr/>
              <w:t>食用农产品、生产（小作坊）环节食品抽检</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840,000.00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合同履行期限：合同签订之日起至2025年12月31日。具体时间以所签订的合同约定时间为准。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2）有依法缴纳税收和社会保障资金的良好记录：投标文件中提供《资格条件承诺函》，（格式详见招标文件“第二章 采购需求”）。</w:t>
      </w:r>
    </w:p>
    <w:p>
      <w:pPr>
        <w:pStyle w:val="null3"/>
      </w:pPr>
      <w:r>
        <w:rPr/>
        <w:t>3）具有良好的商业信誉和健全的财务会计制度：投标文件中提供《资格条件承诺函》，（格式详见招标文件“第二章 采购需求”）。</w:t>
      </w:r>
    </w:p>
    <w:p>
      <w:pPr>
        <w:pStyle w:val="null3"/>
      </w:pPr>
      <w:r>
        <w:rPr/>
        <w:t>4）履行合同所必需的设备和专业技术能力：投标文件中提供《资格条件承诺函》，（格式详见招标文件“第二章 采购需求”）。</w:t>
      </w:r>
    </w:p>
    <w:p>
      <w:pPr>
        <w:pStyle w:val="null3"/>
      </w:pPr>
      <w:r>
        <w:rPr/>
        <w:t>5）参加采购活动前3年内，在经营活动中没有重大违法记录：参加采购活动前3年内，在经营活动中没有重大违法记录：投标文件中提供《资格条件承诺函》，（格式详见招标文件“第二章 采购需求”）。 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采购包1（食用农产品、餐饮环节食品抽检）：</w:t>
      </w:r>
      <w:r>
        <w:rPr/>
        <w:t>本采购包不属于专门面向中小企业采购的项目。</w:t>
      </w:r>
    </w:p>
    <w:p>
      <w:pPr>
        <w:pStyle w:val="null3"/>
        <w:jc w:val="left"/>
      </w:pPr>
      <w:r>
        <w:rPr/>
        <w:t>采购包2（食用农产品、流通环节食品抽检）：</w:t>
      </w:r>
      <w:r>
        <w:rPr/>
        <w:t>本采购包不属于专门面向中小企业采购的项目。</w:t>
      </w:r>
    </w:p>
    <w:p>
      <w:pPr>
        <w:pStyle w:val="null3"/>
        <w:jc w:val="left"/>
      </w:pPr>
      <w:r>
        <w:rPr/>
        <w:t>采购包3（食用农产品、生产（小作坊）环节食品抽检）：</w:t>
      </w:r>
      <w:r>
        <w:rPr/>
        <w:t>本采购包不属于专门面向中小企业采购的项目。</w:t>
      </w:r>
    </w:p>
    <w:p>
      <w:pPr>
        <w:pStyle w:val="null3"/>
        <w:outlineLvl w:val="3"/>
      </w:pPr>
      <w:r>
        <w:rPr>
          <w:sz w:val="24"/>
          <w:b/>
        </w:rPr>
        <w:t>3.本项目特定的资格要求：</w:t>
      </w:r>
    </w:p>
    <w:p>
      <w:pPr>
        <w:pStyle w:val="null3"/>
      </w:pPr>
      <w:r>
        <w:rPr/>
        <w:t>采购包1（食用农产品、餐饮环节食品抽检）：</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3)投标人或其实验室必须具备有效的检验检测机构资质认定证书（CMA）。（如国家另有规定，则适用其规定）。</w:t>
      </w:r>
    </w:p>
    <w:p>
      <w:pPr>
        <w:pStyle w:val="null3"/>
      </w:pPr>
      <w:r>
        <w:rPr/>
        <w:t>采购包2（食用农产品、流通环节食品抽检）：</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3)投标人或其实验室必须具备有效的检验检测机构资质认定证书（CMA）。（如国家另有规定，则适用其规定）。</w:t>
      </w:r>
    </w:p>
    <w:p>
      <w:pPr>
        <w:pStyle w:val="null3"/>
      </w:pPr>
      <w:r>
        <w:rPr/>
        <w:t>采购包3（食用农产品、生产（小作坊）环节食品抽检）：</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3)投标人或其实验室必须具备有效的检验检测机构资质认定证书（CMA）。（如国家另有规定，则适用其规定）。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广东远东招标代理有限公司（http://www.gdydzb.com）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韶关市市场监督管理局</w:t>
      </w:r>
    </w:p>
    <w:p>
      <w:pPr>
        <w:pStyle w:val="null3"/>
        <w:ind w:firstLine="480"/>
      </w:pPr>
      <w:r>
        <w:rPr/>
        <w:t xml:space="preserve"> 地址：</w:t>
      </w:r>
      <w:r>
        <w:rPr/>
        <w:t>韶关市浈江区北江中路37号</w:t>
      </w:r>
    </w:p>
    <w:p>
      <w:pPr>
        <w:pStyle w:val="null3"/>
        <w:ind w:firstLine="480"/>
      </w:pPr>
      <w:r>
        <w:rPr/>
        <w:t xml:space="preserve"> 联系方式：</w:t>
      </w:r>
      <w:r>
        <w:rPr/>
        <w:t>0751-8488016</w:t>
      </w:r>
    </w:p>
    <w:p>
      <w:pPr>
        <w:pStyle w:val="null3"/>
        <w:outlineLvl w:val="3"/>
      </w:pPr>
      <w:r>
        <w:rPr>
          <w:sz w:val="24"/>
          <w:b/>
        </w:rPr>
        <w:t xml:space="preserve"> 2.采购代理机构信息</w:t>
      </w:r>
    </w:p>
    <w:p>
      <w:pPr>
        <w:pStyle w:val="null3"/>
        <w:ind w:firstLine="480"/>
      </w:pPr>
      <w:r>
        <w:rPr/>
        <w:t xml:space="preserve"> 名称：</w:t>
      </w:r>
      <w:r>
        <w:rPr/>
        <w:t>广东远东招标代理有限公司韶关分公司</w:t>
      </w:r>
    </w:p>
    <w:p>
      <w:pPr>
        <w:pStyle w:val="null3"/>
        <w:ind w:firstLine="480"/>
      </w:pPr>
      <w:r>
        <w:rPr/>
        <w:t xml:space="preserve"> 地址：</w:t>
      </w:r>
      <w:r>
        <w:rPr/>
        <w:t>广东省广州市越秀区越秀北路222号608-612室，广东省韶关市武江区西联镇小阳山沐芙路扬成名门综合楼三楼318号</w:t>
      </w:r>
    </w:p>
    <w:p>
      <w:pPr>
        <w:pStyle w:val="null3"/>
        <w:ind w:firstLine="480"/>
      </w:pPr>
      <w:r>
        <w:rPr/>
        <w:t xml:space="preserve"> 联系方式：</w:t>
      </w:r>
      <w:r>
        <w:rPr/>
        <w:t>0751-8115118</w:t>
      </w:r>
    </w:p>
    <w:p>
      <w:pPr>
        <w:pStyle w:val="null3"/>
        <w:outlineLvl w:val="3"/>
      </w:pPr>
      <w:r>
        <w:rPr>
          <w:sz w:val="24"/>
          <w:b/>
        </w:rPr>
        <w:t xml:space="preserve"> 3.项目联系方式</w:t>
      </w:r>
    </w:p>
    <w:p>
      <w:pPr>
        <w:pStyle w:val="null3"/>
        <w:ind w:firstLine="480"/>
      </w:pPr>
      <w:r>
        <w:rPr/>
        <w:t xml:space="preserve"> 项目联系人：</w:t>
      </w:r>
      <w:r>
        <w:rPr/>
        <w:t>邹小姐</w:t>
      </w:r>
    </w:p>
    <w:p>
      <w:pPr>
        <w:pStyle w:val="null3"/>
        <w:ind w:firstLine="480"/>
      </w:pPr>
      <w:r>
        <w:rPr/>
        <w:t xml:space="preserve"> 电话：</w:t>
      </w:r>
      <w:r>
        <w:rPr/>
        <w:t>0751-8115118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广东远东招标代理有限公司韶关分公司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（一）采购项目需求一览表</w:t>
      </w:r>
    </w:p>
    <w:tbl>
      <w:tblPr>
        <w:tblW w:w="0" w:type="auto"/>
        <w:tblBorders>
          <w:top w:val="none" w:color="000000" w:sz="4"/>
          <w:left w:val="none" w:color="000000" w:sz="4"/>
          <w:bottom w:val="none" w:color="000000" w:sz="4"/>
          <w:right w:val="none" w:color="000000" w:sz="4"/>
          <w:insideH w:val="none"/>
          <w:insideV w:val="none"/>
        </w:tblBorders>
      </w:tblPr>
      <w:tblGrid>
        <w:gridCol w:w="870"/>
        <w:gridCol w:w="2937"/>
        <w:gridCol w:w="1639"/>
        <w:gridCol w:w="1235"/>
        <w:gridCol w:w="1626"/>
      </w:tblGrid>
      <w:tr>
        <w:tc>
          <w:tcPr>
            <w:tcW w:type="dxa" w:w="8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包组号</w:t>
            </w:r>
          </w:p>
        </w:tc>
        <w:tc>
          <w:tcPr>
            <w:tcW w:type="dxa" w:w="29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标的名称</w:t>
            </w:r>
          </w:p>
        </w:tc>
        <w:tc>
          <w:tcPr>
            <w:tcW w:type="dxa" w:w="16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预算金额</w:t>
            </w:r>
            <w:r>
              <w:rPr>
                <w:sz w:val="24"/>
                <w:b/>
              </w:rPr>
              <w:t>（元）</w:t>
            </w:r>
          </w:p>
        </w:tc>
        <w:tc>
          <w:tcPr>
            <w:tcW w:type="dxa" w:w="1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供应商数量</w:t>
            </w:r>
          </w:p>
        </w:tc>
        <w:tc>
          <w:tcPr>
            <w:tcW w:type="dxa" w:w="16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服务时间</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食用农产品、餐饮环节食品抽检</w:t>
            </w:r>
          </w:p>
        </w:tc>
        <w:tc>
          <w:tcPr>
            <w:tcW w:type="dxa" w:w="1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xml:space="preserve"> 910,000.00</w:t>
            </w:r>
          </w:p>
        </w:tc>
        <w:tc>
          <w:tcPr>
            <w:tcW w:type="dxa" w:w="1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1家</w:t>
            </w:r>
          </w:p>
        </w:tc>
        <w:tc>
          <w:tcPr>
            <w:tcW w:type="dxa" w:w="16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合同签订之日起至2025年12月31日。具体时间以所签订的合同约定时间为准。</w:t>
            </w: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食用农产品、流通环节食品抽检</w:t>
            </w:r>
          </w:p>
        </w:tc>
        <w:tc>
          <w:tcPr>
            <w:tcW w:type="dxa" w:w="1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xml:space="preserve"> 890,000.00</w:t>
            </w:r>
          </w:p>
        </w:tc>
        <w:tc>
          <w:tcPr>
            <w:tcW w:type="dxa" w:w="1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1家</w:t>
            </w:r>
          </w:p>
        </w:tc>
        <w:tc>
          <w:tcPr>
            <w:tcW w:type="dxa" w:w="1626"/>
            <w:vMerge/>
            <w:tcBorders>
              <w:top w:val="none" w:color="000000" w:sz="4"/>
              <w:left w:val="single" w:color="000000" w:sz="4"/>
              <w:bottom w:val="single" w:color="000000" w:sz="4"/>
              <w:right w:val="single" w:color="000000" w:sz="4"/>
            </w:tcBorders>
          </w:tcPr>
          <w:p/>
        </w:tc>
      </w:tr>
      <w:tr>
        <w:tc>
          <w:tcPr>
            <w:tcW w:type="dxa" w:w="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9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食用农产品、生产（小作坊）环节食品抽检</w:t>
            </w:r>
          </w:p>
        </w:tc>
        <w:tc>
          <w:tcPr>
            <w:tcW w:type="dxa" w:w="1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xml:space="preserve"> 840,000.00</w:t>
            </w:r>
          </w:p>
        </w:tc>
        <w:tc>
          <w:tcPr>
            <w:tcW w:type="dxa" w:w="1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1家</w:t>
            </w:r>
          </w:p>
        </w:tc>
        <w:tc>
          <w:tcPr>
            <w:tcW w:type="dxa" w:w="1626"/>
            <w:vMerge/>
            <w:tcBorders>
              <w:top w:val="none" w:color="000000" w:sz="4"/>
              <w:left w:val="single" w:color="000000" w:sz="4"/>
              <w:bottom w:val="single" w:color="000000" w:sz="4"/>
              <w:right w:val="single" w:color="000000" w:sz="4"/>
            </w:tcBorders>
          </w:tcPr>
          <w:p/>
        </w:tc>
      </w:tr>
    </w:tbl>
    <w:p>
      <w:pPr>
        <w:pStyle w:val="null3"/>
        <w:jc w:val="left"/>
      </w:pPr>
      <w:r>
        <w:rPr>
          <w:sz w:val="24"/>
        </w:rPr>
        <w:t>注：本项目兼投不兼中：</w:t>
      </w:r>
    </w:p>
    <w:p>
      <w:pPr>
        <w:pStyle w:val="null3"/>
        <w:ind w:firstLine="480"/>
        <w:jc w:val="left"/>
      </w:pPr>
      <w:r>
        <w:rPr>
          <w:sz w:val="24"/>
        </w:rPr>
        <w:t>1、投标人可以选择其中一个采购包进行投标，也可同时对三个采购包进行投标，但必须对同一采购包的全部内容进行响应，且每个采购包的投标文件必须单独制作。</w:t>
      </w:r>
      <w:r>
        <w:br/>
      </w:r>
      <w:r>
        <w:rPr>
          <w:sz w:val="24"/>
        </w:rPr>
        <w:t xml:space="preserve">     2、每个投标人最多只能被确定为1个采购包的第一中标候选人。本项目按采购包的顺序进行评审，依次按照评标总得分由高到低的顺序推荐，已获得采购包第一中标候选人资格的，将不得进入后续采购包的评审环节，以此类推。</w:t>
      </w:r>
    </w:p>
    <w:p>
      <w:pPr>
        <w:pStyle w:val="null3"/>
        <w:jc w:val="both"/>
      </w:pPr>
      <w:r>
        <w:rPr>
          <w:sz w:val="24"/>
          <w:b/>
        </w:rPr>
        <w:t>（二）项目采购内容清单</w:t>
      </w:r>
    </w:p>
    <w:tbl>
      <w:tblPr>
        <w:tblW w:w="0" w:type="auto"/>
        <w:tblBorders>
          <w:top w:val="none" w:color="000000" w:sz="4"/>
          <w:left w:val="none" w:color="000000" w:sz="4"/>
          <w:bottom w:val="none" w:color="000000" w:sz="4"/>
          <w:right w:val="none" w:color="000000" w:sz="4"/>
          <w:insideH w:val="none"/>
          <w:insideV w:val="none"/>
        </w:tblBorders>
      </w:tblPr>
      <w:tblGrid>
        <w:gridCol w:w="860"/>
        <w:gridCol w:w="606"/>
        <w:gridCol w:w="2024"/>
        <w:gridCol w:w="1333"/>
        <w:gridCol w:w="909"/>
        <w:gridCol w:w="1127"/>
        <w:gridCol w:w="1394"/>
      </w:tblGrid>
      <w:tr>
        <w:tc>
          <w:tcPr>
            <w:tcW w:type="dxa" w:w="860"/>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采购包</w:t>
            </w:r>
          </w:p>
        </w:tc>
        <w:tc>
          <w:tcPr>
            <w:tcW w:type="dxa" w:w="606"/>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序号</w:t>
            </w:r>
          </w:p>
        </w:tc>
        <w:tc>
          <w:tcPr>
            <w:tcW w:type="dxa" w:w="2024"/>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食品抽检类别</w:t>
            </w:r>
          </w:p>
        </w:tc>
        <w:tc>
          <w:tcPr>
            <w:tcW w:type="dxa" w:w="1333"/>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各类别预计批次数（批次）</w:t>
            </w:r>
          </w:p>
        </w:tc>
        <w:tc>
          <w:tcPr>
            <w:tcW w:type="dxa" w:w="909"/>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总批次数</w:t>
            </w:r>
          </w:p>
        </w:tc>
        <w:tc>
          <w:tcPr>
            <w:tcW w:type="dxa" w:w="1127"/>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采购包最高限价（万元）</w:t>
            </w:r>
          </w:p>
        </w:tc>
        <w:tc>
          <w:tcPr>
            <w:tcW w:type="dxa" w:w="1394"/>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其他要求</w:t>
            </w:r>
          </w:p>
        </w:tc>
      </w:tr>
      <w:tr>
        <w:tc>
          <w:tcPr>
            <w:tcW w:type="dxa" w:w="860"/>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食用农产品、餐饮环节食品抽检</w:t>
            </w:r>
          </w:p>
        </w:tc>
        <w:tc>
          <w:tcPr>
            <w:tcW w:type="dxa" w:w="6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20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畜禽肉及副产品</w:t>
            </w:r>
          </w:p>
        </w:tc>
        <w:tc>
          <w:tcPr>
            <w:tcW w:type="dxa" w:w="13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135</w:t>
            </w:r>
          </w:p>
        </w:tc>
        <w:tc>
          <w:tcPr>
            <w:tcW w:type="dxa" w:w="909"/>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不少于709批</w:t>
            </w:r>
          </w:p>
        </w:tc>
        <w:tc>
          <w:tcPr>
            <w:tcW w:type="dxa" w:w="1127"/>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91.00</w:t>
            </w:r>
          </w:p>
        </w:tc>
        <w:tc>
          <w:tcPr>
            <w:tcW w:type="dxa" w:w="1394"/>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根据需要承担应急抽检任务、技术服务工作。</w:t>
            </w:r>
          </w:p>
        </w:tc>
      </w:tr>
      <w:tr>
        <w:tc>
          <w:tcPr>
            <w:tcW w:type="dxa" w:w="860"/>
            <w:vMerge/>
            <w:tcBorders>
              <w:top w:val="none" w:color="000000" w:sz="4"/>
              <w:left w:val="single" w:color="000000" w:sz="4"/>
              <w:bottom w:val="single" w:color="000000" w:sz="4"/>
              <w:right w:val="single" w:color="000000" w:sz="4"/>
            </w:tcBorders>
          </w:tcPr>
          <w:p/>
        </w:tc>
        <w:tc>
          <w:tcPr>
            <w:tcW w:type="dxa" w:w="6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20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水果类</w:t>
            </w:r>
          </w:p>
        </w:tc>
        <w:tc>
          <w:tcPr>
            <w:tcW w:type="dxa" w:w="13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228</w:t>
            </w:r>
          </w:p>
        </w:tc>
        <w:tc>
          <w:tcPr>
            <w:tcW w:type="dxa" w:w="909"/>
            <w:vMerge/>
            <w:tcBorders>
              <w:top w:val="none" w:color="000000" w:sz="4"/>
              <w:left w:val="single" w:color="000000" w:sz="4"/>
              <w:bottom w:val="single" w:color="000000" w:sz="4"/>
              <w:right w:val="single" w:color="000000" w:sz="4"/>
            </w:tcBorders>
          </w:tcPr>
          <w:p/>
        </w:tc>
        <w:tc>
          <w:tcPr>
            <w:tcW w:type="dxa" w:w="1127"/>
            <w:vMerge/>
            <w:tcBorders>
              <w:top w:val="none" w:color="000000" w:sz="4"/>
              <w:left w:val="single" w:color="000000" w:sz="4"/>
              <w:bottom w:val="single" w:color="000000" w:sz="4"/>
              <w:right w:val="single" w:color="000000" w:sz="4"/>
            </w:tcBorders>
          </w:tcPr>
          <w:p/>
        </w:tc>
        <w:tc>
          <w:tcPr>
            <w:tcW w:type="dxa" w:w="1394"/>
            <w:vMerge/>
            <w:tcBorders>
              <w:top w:val="none" w:color="000000" w:sz="4"/>
              <w:left w:val="single" w:color="000000" w:sz="4"/>
              <w:bottom w:val="single" w:color="000000" w:sz="4"/>
              <w:right w:val="single" w:color="000000" w:sz="4"/>
            </w:tcBorders>
          </w:tcPr>
          <w:p/>
        </w:tc>
      </w:tr>
      <w:tr>
        <w:tc>
          <w:tcPr>
            <w:tcW w:type="dxa" w:w="860"/>
            <w:vMerge/>
            <w:tcBorders>
              <w:top w:val="none" w:color="000000" w:sz="4"/>
              <w:left w:val="single" w:color="000000" w:sz="4"/>
              <w:bottom w:val="single" w:color="000000" w:sz="4"/>
              <w:right w:val="single" w:color="000000" w:sz="4"/>
            </w:tcBorders>
          </w:tcPr>
          <w:p/>
        </w:tc>
        <w:tc>
          <w:tcPr>
            <w:tcW w:type="dxa" w:w="6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w:t>
            </w:r>
          </w:p>
        </w:tc>
        <w:tc>
          <w:tcPr>
            <w:tcW w:type="dxa" w:w="20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粮食加工品</w:t>
            </w:r>
          </w:p>
        </w:tc>
        <w:tc>
          <w:tcPr>
            <w:tcW w:type="dxa" w:w="13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17</w:t>
            </w:r>
          </w:p>
        </w:tc>
        <w:tc>
          <w:tcPr>
            <w:tcW w:type="dxa" w:w="909"/>
            <w:vMerge/>
            <w:tcBorders>
              <w:top w:val="none" w:color="000000" w:sz="4"/>
              <w:left w:val="single" w:color="000000" w:sz="4"/>
              <w:bottom w:val="single" w:color="000000" w:sz="4"/>
              <w:right w:val="single" w:color="000000" w:sz="4"/>
            </w:tcBorders>
          </w:tcPr>
          <w:p/>
        </w:tc>
        <w:tc>
          <w:tcPr>
            <w:tcW w:type="dxa" w:w="1127"/>
            <w:vMerge/>
            <w:tcBorders>
              <w:top w:val="none" w:color="000000" w:sz="4"/>
              <w:left w:val="single" w:color="000000" w:sz="4"/>
              <w:bottom w:val="single" w:color="000000" w:sz="4"/>
              <w:right w:val="single" w:color="000000" w:sz="4"/>
            </w:tcBorders>
          </w:tcPr>
          <w:p/>
        </w:tc>
        <w:tc>
          <w:tcPr>
            <w:tcW w:type="dxa" w:w="1394"/>
            <w:vMerge/>
            <w:tcBorders>
              <w:top w:val="none" w:color="000000" w:sz="4"/>
              <w:left w:val="single" w:color="000000" w:sz="4"/>
              <w:bottom w:val="single" w:color="000000" w:sz="4"/>
              <w:right w:val="single" w:color="000000" w:sz="4"/>
            </w:tcBorders>
          </w:tcPr>
          <w:p/>
        </w:tc>
      </w:tr>
      <w:tr>
        <w:tc>
          <w:tcPr>
            <w:tcW w:type="dxa" w:w="860"/>
            <w:vMerge/>
            <w:tcBorders>
              <w:top w:val="none" w:color="000000" w:sz="4"/>
              <w:left w:val="single" w:color="000000" w:sz="4"/>
              <w:bottom w:val="single" w:color="000000" w:sz="4"/>
              <w:right w:val="single" w:color="000000" w:sz="4"/>
            </w:tcBorders>
          </w:tcPr>
          <w:p/>
        </w:tc>
        <w:tc>
          <w:tcPr>
            <w:tcW w:type="dxa" w:w="6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4</w:t>
            </w:r>
          </w:p>
        </w:tc>
        <w:tc>
          <w:tcPr>
            <w:tcW w:type="dxa" w:w="20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食用油、油脂及其制品</w:t>
            </w:r>
          </w:p>
        </w:tc>
        <w:tc>
          <w:tcPr>
            <w:tcW w:type="dxa" w:w="13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15</w:t>
            </w:r>
          </w:p>
        </w:tc>
        <w:tc>
          <w:tcPr>
            <w:tcW w:type="dxa" w:w="909"/>
            <w:vMerge/>
            <w:tcBorders>
              <w:top w:val="none" w:color="000000" w:sz="4"/>
              <w:left w:val="single" w:color="000000" w:sz="4"/>
              <w:bottom w:val="single" w:color="000000" w:sz="4"/>
              <w:right w:val="single" w:color="000000" w:sz="4"/>
            </w:tcBorders>
          </w:tcPr>
          <w:p/>
        </w:tc>
        <w:tc>
          <w:tcPr>
            <w:tcW w:type="dxa" w:w="1127"/>
            <w:vMerge/>
            <w:tcBorders>
              <w:top w:val="none" w:color="000000" w:sz="4"/>
              <w:left w:val="single" w:color="000000" w:sz="4"/>
              <w:bottom w:val="single" w:color="000000" w:sz="4"/>
              <w:right w:val="single" w:color="000000" w:sz="4"/>
            </w:tcBorders>
          </w:tcPr>
          <w:p/>
        </w:tc>
        <w:tc>
          <w:tcPr>
            <w:tcW w:type="dxa" w:w="1394"/>
            <w:vMerge/>
            <w:tcBorders>
              <w:top w:val="none" w:color="000000" w:sz="4"/>
              <w:left w:val="single" w:color="000000" w:sz="4"/>
              <w:bottom w:val="single" w:color="000000" w:sz="4"/>
              <w:right w:val="single" w:color="000000" w:sz="4"/>
            </w:tcBorders>
          </w:tcPr>
          <w:p/>
        </w:tc>
      </w:tr>
      <w:tr>
        <w:tc>
          <w:tcPr>
            <w:tcW w:type="dxa" w:w="860"/>
            <w:vMerge/>
            <w:tcBorders>
              <w:top w:val="none" w:color="000000" w:sz="4"/>
              <w:left w:val="single" w:color="000000" w:sz="4"/>
              <w:bottom w:val="single" w:color="000000" w:sz="4"/>
              <w:right w:val="single" w:color="000000" w:sz="4"/>
            </w:tcBorders>
          </w:tcPr>
          <w:p/>
        </w:tc>
        <w:tc>
          <w:tcPr>
            <w:tcW w:type="dxa" w:w="6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5</w:t>
            </w:r>
          </w:p>
        </w:tc>
        <w:tc>
          <w:tcPr>
            <w:tcW w:type="dxa" w:w="20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调味品</w:t>
            </w:r>
          </w:p>
        </w:tc>
        <w:tc>
          <w:tcPr>
            <w:tcW w:type="dxa" w:w="13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30</w:t>
            </w:r>
          </w:p>
        </w:tc>
        <w:tc>
          <w:tcPr>
            <w:tcW w:type="dxa" w:w="909"/>
            <w:vMerge/>
            <w:tcBorders>
              <w:top w:val="none" w:color="000000" w:sz="4"/>
              <w:left w:val="single" w:color="000000" w:sz="4"/>
              <w:bottom w:val="single" w:color="000000" w:sz="4"/>
              <w:right w:val="single" w:color="000000" w:sz="4"/>
            </w:tcBorders>
          </w:tcPr>
          <w:p/>
        </w:tc>
        <w:tc>
          <w:tcPr>
            <w:tcW w:type="dxa" w:w="1127"/>
            <w:vMerge/>
            <w:tcBorders>
              <w:top w:val="none" w:color="000000" w:sz="4"/>
              <w:left w:val="single" w:color="000000" w:sz="4"/>
              <w:bottom w:val="single" w:color="000000" w:sz="4"/>
              <w:right w:val="single" w:color="000000" w:sz="4"/>
            </w:tcBorders>
          </w:tcPr>
          <w:p/>
        </w:tc>
        <w:tc>
          <w:tcPr>
            <w:tcW w:type="dxa" w:w="1394"/>
            <w:vMerge/>
            <w:tcBorders>
              <w:top w:val="none" w:color="000000" w:sz="4"/>
              <w:left w:val="single" w:color="000000" w:sz="4"/>
              <w:bottom w:val="single" w:color="000000" w:sz="4"/>
              <w:right w:val="single" w:color="000000" w:sz="4"/>
            </w:tcBorders>
          </w:tcPr>
          <w:p/>
        </w:tc>
      </w:tr>
      <w:tr>
        <w:tc>
          <w:tcPr>
            <w:tcW w:type="dxa" w:w="860"/>
            <w:vMerge/>
            <w:tcBorders>
              <w:top w:val="none" w:color="000000" w:sz="4"/>
              <w:left w:val="single" w:color="000000" w:sz="4"/>
              <w:bottom w:val="single" w:color="000000" w:sz="4"/>
              <w:right w:val="single" w:color="000000" w:sz="4"/>
            </w:tcBorders>
          </w:tcPr>
          <w:p/>
        </w:tc>
        <w:tc>
          <w:tcPr>
            <w:tcW w:type="dxa" w:w="6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6</w:t>
            </w:r>
          </w:p>
        </w:tc>
        <w:tc>
          <w:tcPr>
            <w:tcW w:type="dxa" w:w="20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肉制品</w:t>
            </w:r>
          </w:p>
        </w:tc>
        <w:tc>
          <w:tcPr>
            <w:tcW w:type="dxa" w:w="13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6</w:t>
            </w:r>
          </w:p>
        </w:tc>
        <w:tc>
          <w:tcPr>
            <w:tcW w:type="dxa" w:w="909"/>
            <w:vMerge/>
            <w:tcBorders>
              <w:top w:val="none" w:color="000000" w:sz="4"/>
              <w:left w:val="single" w:color="000000" w:sz="4"/>
              <w:bottom w:val="single" w:color="000000" w:sz="4"/>
              <w:right w:val="single" w:color="000000" w:sz="4"/>
            </w:tcBorders>
          </w:tcPr>
          <w:p/>
        </w:tc>
        <w:tc>
          <w:tcPr>
            <w:tcW w:type="dxa" w:w="1127"/>
            <w:vMerge/>
            <w:tcBorders>
              <w:top w:val="none" w:color="000000" w:sz="4"/>
              <w:left w:val="single" w:color="000000" w:sz="4"/>
              <w:bottom w:val="single" w:color="000000" w:sz="4"/>
              <w:right w:val="single" w:color="000000" w:sz="4"/>
            </w:tcBorders>
          </w:tcPr>
          <w:p/>
        </w:tc>
        <w:tc>
          <w:tcPr>
            <w:tcW w:type="dxa" w:w="1394"/>
            <w:vMerge/>
            <w:tcBorders>
              <w:top w:val="none" w:color="000000" w:sz="4"/>
              <w:left w:val="single" w:color="000000" w:sz="4"/>
              <w:bottom w:val="single" w:color="000000" w:sz="4"/>
              <w:right w:val="single" w:color="000000" w:sz="4"/>
            </w:tcBorders>
          </w:tcPr>
          <w:p/>
        </w:tc>
      </w:tr>
      <w:tr>
        <w:tc>
          <w:tcPr>
            <w:tcW w:type="dxa" w:w="860"/>
            <w:vMerge/>
            <w:tcBorders>
              <w:top w:val="none" w:color="000000" w:sz="4"/>
              <w:left w:val="single" w:color="000000" w:sz="4"/>
              <w:bottom w:val="single" w:color="000000" w:sz="4"/>
              <w:right w:val="single" w:color="000000" w:sz="4"/>
            </w:tcBorders>
          </w:tcPr>
          <w:p/>
        </w:tc>
        <w:tc>
          <w:tcPr>
            <w:tcW w:type="dxa" w:w="6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20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餐饮食品</w:t>
            </w:r>
          </w:p>
        </w:tc>
        <w:tc>
          <w:tcPr>
            <w:tcW w:type="dxa" w:w="13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278</w:t>
            </w:r>
          </w:p>
        </w:tc>
        <w:tc>
          <w:tcPr>
            <w:tcW w:type="dxa" w:w="909"/>
            <w:vMerge/>
            <w:tcBorders>
              <w:top w:val="none" w:color="000000" w:sz="4"/>
              <w:left w:val="single" w:color="000000" w:sz="4"/>
              <w:bottom w:val="single" w:color="000000" w:sz="4"/>
              <w:right w:val="single" w:color="000000" w:sz="4"/>
            </w:tcBorders>
          </w:tcPr>
          <w:p/>
        </w:tc>
        <w:tc>
          <w:tcPr>
            <w:tcW w:type="dxa" w:w="1127"/>
            <w:vMerge/>
            <w:tcBorders>
              <w:top w:val="none" w:color="000000" w:sz="4"/>
              <w:left w:val="single" w:color="000000" w:sz="4"/>
              <w:bottom w:val="single" w:color="000000" w:sz="4"/>
              <w:right w:val="single" w:color="000000" w:sz="4"/>
            </w:tcBorders>
          </w:tcPr>
          <w:p/>
        </w:tc>
        <w:tc>
          <w:tcPr>
            <w:tcW w:type="dxa" w:w="1394"/>
            <w:vMerge/>
            <w:tcBorders>
              <w:top w:val="none" w:color="000000" w:sz="4"/>
              <w:left w:val="single" w:color="000000" w:sz="4"/>
              <w:bottom w:val="single" w:color="000000" w:sz="4"/>
              <w:right w:val="single" w:color="000000" w:sz="4"/>
            </w:tcBorders>
          </w:tcPr>
          <w:p/>
        </w:tc>
      </w:tr>
      <w:tr>
        <w:tc>
          <w:tcPr>
            <w:tcW w:type="dxa" w:w="860"/>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食用农产品、流通环节食品抽检</w:t>
            </w:r>
          </w:p>
        </w:tc>
        <w:tc>
          <w:tcPr>
            <w:tcW w:type="dxa" w:w="6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20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水产品</w:t>
            </w:r>
          </w:p>
        </w:tc>
        <w:tc>
          <w:tcPr>
            <w:tcW w:type="dxa" w:w="13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195</w:t>
            </w:r>
          </w:p>
        </w:tc>
        <w:tc>
          <w:tcPr>
            <w:tcW w:type="dxa" w:w="909"/>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不少于534批</w:t>
            </w:r>
          </w:p>
        </w:tc>
        <w:tc>
          <w:tcPr>
            <w:tcW w:type="dxa" w:w="1127"/>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89.00</w:t>
            </w:r>
          </w:p>
        </w:tc>
        <w:tc>
          <w:tcPr>
            <w:tcW w:type="dxa" w:w="1394"/>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根据需要承担应急抽检任务、技术服务工作。</w:t>
            </w:r>
          </w:p>
        </w:tc>
      </w:tr>
      <w:tr>
        <w:tc>
          <w:tcPr>
            <w:tcW w:type="dxa" w:w="860"/>
            <w:vMerge/>
            <w:tcBorders>
              <w:top w:val="none" w:color="000000" w:sz="4"/>
              <w:left w:val="single" w:color="000000" w:sz="4"/>
              <w:bottom w:val="single" w:color="000000" w:sz="4"/>
              <w:right w:val="single" w:color="000000" w:sz="4"/>
            </w:tcBorders>
          </w:tcPr>
          <w:p/>
        </w:tc>
        <w:tc>
          <w:tcPr>
            <w:tcW w:type="dxa" w:w="6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20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鲜蛋</w:t>
            </w:r>
          </w:p>
        </w:tc>
        <w:tc>
          <w:tcPr>
            <w:tcW w:type="dxa" w:w="13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49</w:t>
            </w:r>
          </w:p>
        </w:tc>
        <w:tc>
          <w:tcPr>
            <w:tcW w:type="dxa" w:w="909"/>
            <w:vMerge/>
            <w:tcBorders>
              <w:top w:val="none" w:color="000000" w:sz="4"/>
              <w:left w:val="single" w:color="000000" w:sz="4"/>
              <w:bottom w:val="single" w:color="000000" w:sz="4"/>
              <w:right w:val="single" w:color="000000" w:sz="4"/>
            </w:tcBorders>
          </w:tcPr>
          <w:p/>
        </w:tc>
        <w:tc>
          <w:tcPr>
            <w:tcW w:type="dxa" w:w="1127"/>
            <w:vMerge/>
            <w:tcBorders>
              <w:top w:val="none" w:color="000000" w:sz="4"/>
              <w:left w:val="single" w:color="000000" w:sz="4"/>
              <w:bottom w:val="single" w:color="000000" w:sz="4"/>
              <w:right w:val="single" w:color="000000" w:sz="4"/>
            </w:tcBorders>
          </w:tcPr>
          <w:p/>
        </w:tc>
        <w:tc>
          <w:tcPr>
            <w:tcW w:type="dxa" w:w="1394"/>
            <w:vMerge/>
            <w:tcBorders>
              <w:top w:val="none" w:color="000000" w:sz="4"/>
              <w:left w:val="single" w:color="000000" w:sz="4"/>
              <w:bottom w:val="single" w:color="000000" w:sz="4"/>
              <w:right w:val="single" w:color="000000" w:sz="4"/>
            </w:tcBorders>
          </w:tcPr>
          <w:p/>
        </w:tc>
      </w:tr>
      <w:tr>
        <w:tc>
          <w:tcPr>
            <w:tcW w:type="dxa" w:w="860"/>
            <w:vMerge/>
            <w:tcBorders>
              <w:top w:val="none" w:color="000000" w:sz="4"/>
              <w:left w:val="single" w:color="000000" w:sz="4"/>
              <w:bottom w:val="single" w:color="000000" w:sz="4"/>
              <w:right w:val="single" w:color="000000" w:sz="4"/>
            </w:tcBorders>
          </w:tcPr>
          <w:p/>
        </w:tc>
        <w:tc>
          <w:tcPr>
            <w:tcW w:type="dxa" w:w="6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w:t>
            </w:r>
          </w:p>
        </w:tc>
        <w:tc>
          <w:tcPr>
            <w:tcW w:type="dxa" w:w="20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粮食加工品</w:t>
            </w:r>
          </w:p>
        </w:tc>
        <w:tc>
          <w:tcPr>
            <w:tcW w:type="dxa" w:w="13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9</w:t>
            </w:r>
          </w:p>
        </w:tc>
        <w:tc>
          <w:tcPr>
            <w:tcW w:type="dxa" w:w="909"/>
            <w:vMerge/>
            <w:tcBorders>
              <w:top w:val="none" w:color="000000" w:sz="4"/>
              <w:left w:val="single" w:color="000000" w:sz="4"/>
              <w:bottom w:val="single" w:color="000000" w:sz="4"/>
              <w:right w:val="single" w:color="000000" w:sz="4"/>
            </w:tcBorders>
          </w:tcPr>
          <w:p/>
        </w:tc>
        <w:tc>
          <w:tcPr>
            <w:tcW w:type="dxa" w:w="1127"/>
            <w:vMerge/>
            <w:tcBorders>
              <w:top w:val="none" w:color="000000" w:sz="4"/>
              <w:left w:val="single" w:color="000000" w:sz="4"/>
              <w:bottom w:val="single" w:color="000000" w:sz="4"/>
              <w:right w:val="single" w:color="000000" w:sz="4"/>
            </w:tcBorders>
          </w:tcPr>
          <w:p/>
        </w:tc>
        <w:tc>
          <w:tcPr>
            <w:tcW w:type="dxa" w:w="1394"/>
            <w:vMerge/>
            <w:tcBorders>
              <w:top w:val="none" w:color="000000" w:sz="4"/>
              <w:left w:val="single" w:color="000000" w:sz="4"/>
              <w:bottom w:val="single" w:color="000000" w:sz="4"/>
              <w:right w:val="single" w:color="000000" w:sz="4"/>
            </w:tcBorders>
          </w:tcPr>
          <w:p/>
        </w:tc>
      </w:tr>
      <w:tr>
        <w:tc>
          <w:tcPr>
            <w:tcW w:type="dxa" w:w="860"/>
            <w:vMerge/>
            <w:tcBorders>
              <w:top w:val="none" w:color="000000" w:sz="4"/>
              <w:left w:val="single" w:color="000000" w:sz="4"/>
              <w:bottom w:val="single" w:color="000000" w:sz="4"/>
              <w:right w:val="single" w:color="000000" w:sz="4"/>
            </w:tcBorders>
          </w:tcPr>
          <w:p/>
        </w:tc>
        <w:tc>
          <w:tcPr>
            <w:tcW w:type="dxa" w:w="6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4</w:t>
            </w:r>
          </w:p>
        </w:tc>
        <w:tc>
          <w:tcPr>
            <w:tcW w:type="dxa" w:w="20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食用油、油脂及其制品</w:t>
            </w:r>
          </w:p>
        </w:tc>
        <w:tc>
          <w:tcPr>
            <w:tcW w:type="dxa" w:w="13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17</w:t>
            </w:r>
          </w:p>
        </w:tc>
        <w:tc>
          <w:tcPr>
            <w:tcW w:type="dxa" w:w="909"/>
            <w:vMerge/>
            <w:tcBorders>
              <w:top w:val="none" w:color="000000" w:sz="4"/>
              <w:left w:val="single" w:color="000000" w:sz="4"/>
              <w:bottom w:val="single" w:color="000000" w:sz="4"/>
              <w:right w:val="single" w:color="000000" w:sz="4"/>
            </w:tcBorders>
          </w:tcPr>
          <w:p/>
        </w:tc>
        <w:tc>
          <w:tcPr>
            <w:tcW w:type="dxa" w:w="1127"/>
            <w:vMerge/>
            <w:tcBorders>
              <w:top w:val="none" w:color="000000" w:sz="4"/>
              <w:left w:val="single" w:color="000000" w:sz="4"/>
              <w:bottom w:val="single" w:color="000000" w:sz="4"/>
              <w:right w:val="single" w:color="000000" w:sz="4"/>
            </w:tcBorders>
          </w:tcPr>
          <w:p/>
        </w:tc>
        <w:tc>
          <w:tcPr>
            <w:tcW w:type="dxa" w:w="1394"/>
            <w:vMerge/>
            <w:tcBorders>
              <w:top w:val="none" w:color="000000" w:sz="4"/>
              <w:left w:val="single" w:color="000000" w:sz="4"/>
              <w:bottom w:val="single" w:color="000000" w:sz="4"/>
              <w:right w:val="single" w:color="000000" w:sz="4"/>
            </w:tcBorders>
          </w:tcPr>
          <w:p/>
        </w:tc>
      </w:tr>
      <w:tr>
        <w:tc>
          <w:tcPr>
            <w:tcW w:type="dxa" w:w="860"/>
            <w:vMerge/>
            <w:tcBorders>
              <w:top w:val="none" w:color="000000" w:sz="4"/>
              <w:left w:val="single" w:color="000000" w:sz="4"/>
              <w:bottom w:val="single" w:color="000000" w:sz="4"/>
              <w:right w:val="single" w:color="000000" w:sz="4"/>
            </w:tcBorders>
          </w:tcPr>
          <w:p/>
        </w:tc>
        <w:tc>
          <w:tcPr>
            <w:tcW w:type="dxa" w:w="6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5</w:t>
            </w:r>
          </w:p>
        </w:tc>
        <w:tc>
          <w:tcPr>
            <w:tcW w:type="dxa" w:w="20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调味品</w:t>
            </w:r>
          </w:p>
        </w:tc>
        <w:tc>
          <w:tcPr>
            <w:tcW w:type="dxa" w:w="13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24</w:t>
            </w:r>
          </w:p>
        </w:tc>
        <w:tc>
          <w:tcPr>
            <w:tcW w:type="dxa" w:w="909"/>
            <w:vMerge/>
            <w:tcBorders>
              <w:top w:val="none" w:color="000000" w:sz="4"/>
              <w:left w:val="single" w:color="000000" w:sz="4"/>
              <w:bottom w:val="single" w:color="000000" w:sz="4"/>
              <w:right w:val="single" w:color="000000" w:sz="4"/>
            </w:tcBorders>
          </w:tcPr>
          <w:p/>
        </w:tc>
        <w:tc>
          <w:tcPr>
            <w:tcW w:type="dxa" w:w="1127"/>
            <w:vMerge/>
            <w:tcBorders>
              <w:top w:val="none" w:color="000000" w:sz="4"/>
              <w:left w:val="single" w:color="000000" w:sz="4"/>
              <w:bottom w:val="single" w:color="000000" w:sz="4"/>
              <w:right w:val="single" w:color="000000" w:sz="4"/>
            </w:tcBorders>
          </w:tcPr>
          <w:p/>
        </w:tc>
        <w:tc>
          <w:tcPr>
            <w:tcW w:type="dxa" w:w="1394"/>
            <w:vMerge/>
            <w:tcBorders>
              <w:top w:val="none" w:color="000000" w:sz="4"/>
              <w:left w:val="single" w:color="000000" w:sz="4"/>
              <w:bottom w:val="single" w:color="000000" w:sz="4"/>
              <w:right w:val="single" w:color="000000" w:sz="4"/>
            </w:tcBorders>
          </w:tcPr>
          <w:p/>
        </w:tc>
      </w:tr>
      <w:tr>
        <w:tc>
          <w:tcPr>
            <w:tcW w:type="dxa" w:w="860"/>
            <w:vMerge/>
            <w:tcBorders>
              <w:top w:val="none" w:color="000000" w:sz="4"/>
              <w:left w:val="single" w:color="000000" w:sz="4"/>
              <w:bottom w:val="single" w:color="000000" w:sz="4"/>
              <w:right w:val="single" w:color="000000" w:sz="4"/>
            </w:tcBorders>
          </w:tcPr>
          <w:p/>
        </w:tc>
        <w:tc>
          <w:tcPr>
            <w:tcW w:type="dxa" w:w="6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6</w:t>
            </w:r>
          </w:p>
        </w:tc>
        <w:tc>
          <w:tcPr>
            <w:tcW w:type="dxa" w:w="20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肉制品</w:t>
            </w:r>
          </w:p>
        </w:tc>
        <w:tc>
          <w:tcPr>
            <w:tcW w:type="dxa" w:w="13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w:t>
            </w:r>
          </w:p>
        </w:tc>
        <w:tc>
          <w:tcPr>
            <w:tcW w:type="dxa" w:w="909"/>
            <w:vMerge/>
            <w:tcBorders>
              <w:top w:val="none" w:color="000000" w:sz="4"/>
              <w:left w:val="single" w:color="000000" w:sz="4"/>
              <w:bottom w:val="single" w:color="000000" w:sz="4"/>
              <w:right w:val="single" w:color="000000" w:sz="4"/>
            </w:tcBorders>
          </w:tcPr>
          <w:p/>
        </w:tc>
        <w:tc>
          <w:tcPr>
            <w:tcW w:type="dxa" w:w="1127"/>
            <w:vMerge/>
            <w:tcBorders>
              <w:top w:val="none" w:color="000000" w:sz="4"/>
              <w:left w:val="single" w:color="000000" w:sz="4"/>
              <w:bottom w:val="single" w:color="000000" w:sz="4"/>
              <w:right w:val="single" w:color="000000" w:sz="4"/>
            </w:tcBorders>
          </w:tcPr>
          <w:p/>
        </w:tc>
        <w:tc>
          <w:tcPr>
            <w:tcW w:type="dxa" w:w="1394"/>
            <w:vMerge/>
            <w:tcBorders>
              <w:top w:val="none" w:color="000000" w:sz="4"/>
              <w:left w:val="single" w:color="000000" w:sz="4"/>
              <w:bottom w:val="single" w:color="000000" w:sz="4"/>
              <w:right w:val="single" w:color="000000" w:sz="4"/>
            </w:tcBorders>
          </w:tcPr>
          <w:p/>
        </w:tc>
      </w:tr>
      <w:tr>
        <w:tc>
          <w:tcPr>
            <w:tcW w:type="dxa" w:w="860"/>
            <w:vMerge/>
            <w:tcBorders>
              <w:top w:val="none" w:color="000000" w:sz="4"/>
              <w:left w:val="single" w:color="000000" w:sz="4"/>
              <w:bottom w:val="single" w:color="000000" w:sz="4"/>
              <w:right w:val="single" w:color="000000" w:sz="4"/>
            </w:tcBorders>
          </w:tcPr>
          <w:p/>
        </w:tc>
        <w:tc>
          <w:tcPr>
            <w:tcW w:type="dxa" w:w="6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20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乳制品</w:t>
            </w:r>
          </w:p>
        </w:tc>
        <w:tc>
          <w:tcPr>
            <w:tcW w:type="dxa" w:w="13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21</w:t>
            </w:r>
          </w:p>
        </w:tc>
        <w:tc>
          <w:tcPr>
            <w:tcW w:type="dxa" w:w="909"/>
            <w:vMerge/>
            <w:tcBorders>
              <w:top w:val="none" w:color="000000" w:sz="4"/>
              <w:left w:val="single" w:color="000000" w:sz="4"/>
              <w:bottom w:val="single" w:color="000000" w:sz="4"/>
              <w:right w:val="single" w:color="000000" w:sz="4"/>
            </w:tcBorders>
          </w:tcPr>
          <w:p/>
        </w:tc>
        <w:tc>
          <w:tcPr>
            <w:tcW w:type="dxa" w:w="1127"/>
            <w:vMerge/>
            <w:tcBorders>
              <w:top w:val="none" w:color="000000" w:sz="4"/>
              <w:left w:val="single" w:color="000000" w:sz="4"/>
              <w:bottom w:val="single" w:color="000000" w:sz="4"/>
              <w:right w:val="single" w:color="000000" w:sz="4"/>
            </w:tcBorders>
          </w:tcPr>
          <w:p/>
        </w:tc>
        <w:tc>
          <w:tcPr>
            <w:tcW w:type="dxa" w:w="1394"/>
            <w:vMerge/>
            <w:tcBorders>
              <w:top w:val="none" w:color="000000" w:sz="4"/>
              <w:left w:val="single" w:color="000000" w:sz="4"/>
              <w:bottom w:val="single" w:color="000000" w:sz="4"/>
              <w:right w:val="single" w:color="000000" w:sz="4"/>
            </w:tcBorders>
          </w:tcPr>
          <w:p/>
        </w:tc>
      </w:tr>
      <w:tr>
        <w:tc>
          <w:tcPr>
            <w:tcW w:type="dxa" w:w="860"/>
            <w:vMerge/>
            <w:tcBorders>
              <w:top w:val="none" w:color="000000" w:sz="4"/>
              <w:left w:val="single" w:color="000000" w:sz="4"/>
              <w:bottom w:val="single" w:color="000000" w:sz="4"/>
              <w:right w:val="single" w:color="000000" w:sz="4"/>
            </w:tcBorders>
          </w:tcPr>
          <w:p/>
        </w:tc>
        <w:tc>
          <w:tcPr>
            <w:tcW w:type="dxa" w:w="6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20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饮料</w:t>
            </w:r>
          </w:p>
        </w:tc>
        <w:tc>
          <w:tcPr>
            <w:tcW w:type="dxa" w:w="13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14</w:t>
            </w:r>
          </w:p>
        </w:tc>
        <w:tc>
          <w:tcPr>
            <w:tcW w:type="dxa" w:w="909"/>
            <w:vMerge/>
            <w:tcBorders>
              <w:top w:val="none" w:color="000000" w:sz="4"/>
              <w:left w:val="single" w:color="000000" w:sz="4"/>
              <w:bottom w:val="single" w:color="000000" w:sz="4"/>
              <w:right w:val="single" w:color="000000" w:sz="4"/>
            </w:tcBorders>
          </w:tcPr>
          <w:p/>
        </w:tc>
        <w:tc>
          <w:tcPr>
            <w:tcW w:type="dxa" w:w="1127"/>
            <w:vMerge/>
            <w:tcBorders>
              <w:top w:val="none" w:color="000000" w:sz="4"/>
              <w:left w:val="single" w:color="000000" w:sz="4"/>
              <w:bottom w:val="single" w:color="000000" w:sz="4"/>
              <w:right w:val="single" w:color="000000" w:sz="4"/>
            </w:tcBorders>
          </w:tcPr>
          <w:p/>
        </w:tc>
        <w:tc>
          <w:tcPr>
            <w:tcW w:type="dxa" w:w="1394"/>
            <w:vMerge/>
            <w:tcBorders>
              <w:top w:val="none" w:color="000000" w:sz="4"/>
              <w:left w:val="single" w:color="000000" w:sz="4"/>
              <w:bottom w:val="single" w:color="000000" w:sz="4"/>
              <w:right w:val="single" w:color="000000" w:sz="4"/>
            </w:tcBorders>
          </w:tcPr>
          <w:p/>
        </w:tc>
      </w:tr>
      <w:tr>
        <w:tc>
          <w:tcPr>
            <w:tcW w:type="dxa" w:w="860"/>
            <w:vMerge/>
            <w:tcBorders>
              <w:top w:val="none" w:color="000000" w:sz="4"/>
              <w:left w:val="single" w:color="000000" w:sz="4"/>
              <w:bottom w:val="single" w:color="000000" w:sz="4"/>
              <w:right w:val="single" w:color="000000" w:sz="4"/>
            </w:tcBorders>
          </w:tcPr>
          <w:p/>
        </w:tc>
        <w:tc>
          <w:tcPr>
            <w:tcW w:type="dxa" w:w="6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9</w:t>
            </w:r>
          </w:p>
        </w:tc>
        <w:tc>
          <w:tcPr>
            <w:tcW w:type="dxa" w:w="20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方便食品</w:t>
            </w:r>
          </w:p>
        </w:tc>
        <w:tc>
          <w:tcPr>
            <w:tcW w:type="dxa" w:w="13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4</w:t>
            </w:r>
          </w:p>
        </w:tc>
        <w:tc>
          <w:tcPr>
            <w:tcW w:type="dxa" w:w="909"/>
            <w:vMerge/>
            <w:tcBorders>
              <w:top w:val="none" w:color="000000" w:sz="4"/>
              <w:left w:val="single" w:color="000000" w:sz="4"/>
              <w:bottom w:val="single" w:color="000000" w:sz="4"/>
              <w:right w:val="single" w:color="000000" w:sz="4"/>
            </w:tcBorders>
          </w:tcPr>
          <w:p/>
        </w:tc>
        <w:tc>
          <w:tcPr>
            <w:tcW w:type="dxa" w:w="1127"/>
            <w:vMerge/>
            <w:tcBorders>
              <w:top w:val="none" w:color="000000" w:sz="4"/>
              <w:left w:val="single" w:color="000000" w:sz="4"/>
              <w:bottom w:val="single" w:color="000000" w:sz="4"/>
              <w:right w:val="single" w:color="000000" w:sz="4"/>
            </w:tcBorders>
          </w:tcPr>
          <w:p/>
        </w:tc>
        <w:tc>
          <w:tcPr>
            <w:tcW w:type="dxa" w:w="1394"/>
            <w:vMerge/>
            <w:tcBorders>
              <w:top w:val="none" w:color="000000" w:sz="4"/>
              <w:left w:val="single" w:color="000000" w:sz="4"/>
              <w:bottom w:val="single" w:color="000000" w:sz="4"/>
              <w:right w:val="single" w:color="000000" w:sz="4"/>
            </w:tcBorders>
          </w:tcPr>
          <w:p/>
        </w:tc>
      </w:tr>
      <w:tr>
        <w:tc>
          <w:tcPr>
            <w:tcW w:type="dxa" w:w="860"/>
            <w:vMerge/>
            <w:tcBorders>
              <w:top w:val="none" w:color="000000" w:sz="4"/>
              <w:left w:val="single" w:color="000000" w:sz="4"/>
              <w:bottom w:val="single" w:color="000000" w:sz="4"/>
              <w:right w:val="single" w:color="000000" w:sz="4"/>
            </w:tcBorders>
          </w:tcPr>
          <w:p/>
        </w:tc>
        <w:tc>
          <w:tcPr>
            <w:tcW w:type="dxa" w:w="6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10</w:t>
            </w:r>
          </w:p>
        </w:tc>
        <w:tc>
          <w:tcPr>
            <w:tcW w:type="dxa" w:w="20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罐头</w:t>
            </w:r>
          </w:p>
        </w:tc>
        <w:tc>
          <w:tcPr>
            <w:tcW w:type="dxa" w:w="13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909"/>
            <w:vMerge/>
            <w:tcBorders>
              <w:top w:val="none" w:color="000000" w:sz="4"/>
              <w:left w:val="single" w:color="000000" w:sz="4"/>
              <w:bottom w:val="single" w:color="000000" w:sz="4"/>
              <w:right w:val="single" w:color="000000" w:sz="4"/>
            </w:tcBorders>
          </w:tcPr>
          <w:p/>
        </w:tc>
        <w:tc>
          <w:tcPr>
            <w:tcW w:type="dxa" w:w="1127"/>
            <w:vMerge/>
            <w:tcBorders>
              <w:top w:val="none" w:color="000000" w:sz="4"/>
              <w:left w:val="single" w:color="000000" w:sz="4"/>
              <w:bottom w:val="single" w:color="000000" w:sz="4"/>
              <w:right w:val="single" w:color="000000" w:sz="4"/>
            </w:tcBorders>
          </w:tcPr>
          <w:p/>
        </w:tc>
        <w:tc>
          <w:tcPr>
            <w:tcW w:type="dxa" w:w="1394"/>
            <w:vMerge/>
            <w:tcBorders>
              <w:top w:val="none" w:color="000000" w:sz="4"/>
              <w:left w:val="single" w:color="000000" w:sz="4"/>
              <w:bottom w:val="single" w:color="000000" w:sz="4"/>
              <w:right w:val="single" w:color="000000" w:sz="4"/>
            </w:tcBorders>
          </w:tcPr>
          <w:p/>
        </w:tc>
      </w:tr>
      <w:tr>
        <w:tc>
          <w:tcPr>
            <w:tcW w:type="dxa" w:w="860"/>
            <w:vMerge/>
            <w:tcBorders>
              <w:top w:val="none" w:color="000000" w:sz="4"/>
              <w:left w:val="single" w:color="000000" w:sz="4"/>
              <w:bottom w:val="single" w:color="000000" w:sz="4"/>
              <w:right w:val="single" w:color="000000" w:sz="4"/>
            </w:tcBorders>
          </w:tcPr>
          <w:p/>
        </w:tc>
        <w:tc>
          <w:tcPr>
            <w:tcW w:type="dxa" w:w="6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11</w:t>
            </w:r>
          </w:p>
        </w:tc>
        <w:tc>
          <w:tcPr>
            <w:tcW w:type="dxa" w:w="20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冷冻饮品</w:t>
            </w:r>
          </w:p>
        </w:tc>
        <w:tc>
          <w:tcPr>
            <w:tcW w:type="dxa" w:w="13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4</w:t>
            </w:r>
          </w:p>
        </w:tc>
        <w:tc>
          <w:tcPr>
            <w:tcW w:type="dxa" w:w="909"/>
            <w:vMerge/>
            <w:tcBorders>
              <w:top w:val="none" w:color="000000" w:sz="4"/>
              <w:left w:val="single" w:color="000000" w:sz="4"/>
              <w:bottom w:val="single" w:color="000000" w:sz="4"/>
              <w:right w:val="single" w:color="000000" w:sz="4"/>
            </w:tcBorders>
          </w:tcPr>
          <w:p/>
        </w:tc>
        <w:tc>
          <w:tcPr>
            <w:tcW w:type="dxa" w:w="1127"/>
            <w:vMerge/>
            <w:tcBorders>
              <w:top w:val="none" w:color="000000" w:sz="4"/>
              <w:left w:val="single" w:color="000000" w:sz="4"/>
              <w:bottom w:val="single" w:color="000000" w:sz="4"/>
              <w:right w:val="single" w:color="000000" w:sz="4"/>
            </w:tcBorders>
          </w:tcPr>
          <w:p/>
        </w:tc>
        <w:tc>
          <w:tcPr>
            <w:tcW w:type="dxa" w:w="1394"/>
            <w:vMerge/>
            <w:tcBorders>
              <w:top w:val="none" w:color="000000" w:sz="4"/>
              <w:left w:val="single" w:color="000000" w:sz="4"/>
              <w:bottom w:val="single" w:color="000000" w:sz="4"/>
              <w:right w:val="single" w:color="000000" w:sz="4"/>
            </w:tcBorders>
          </w:tcPr>
          <w:p/>
        </w:tc>
      </w:tr>
      <w:tr>
        <w:tc>
          <w:tcPr>
            <w:tcW w:type="dxa" w:w="860"/>
            <w:vMerge/>
            <w:tcBorders>
              <w:top w:val="none" w:color="000000" w:sz="4"/>
              <w:left w:val="single" w:color="000000" w:sz="4"/>
              <w:bottom w:val="single" w:color="000000" w:sz="4"/>
              <w:right w:val="single" w:color="000000" w:sz="4"/>
            </w:tcBorders>
          </w:tcPr>
          <w:p/>
        </w:tc>
        <w:tc>
          <w:tcPr>
            <w:tcW w:type="dxa" w:w="6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w:t>
            </w:r>
          </w:p>
        </w:tc>
        <w:tc>
          <w:tcPr>
            <w:tcW w:type="dxa" w:w="20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速冻食品</w:t>
            </w:r>
          </w:p>
        </w:tc>
        <w:tc>
          <w:tcPr>
            <w:tcW w:type="dxa" w:w="13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15</w:t>
            </w:r>
          </w:p>
        </w:tc>
        <w:tc>
          <w:tcPr>
            <w:tcW w:type="dxa" w:w="909"/>
            <w:vMerge/>
            <w:tcBorders>
              <w:top w:val="none" w:color="000000" w:sz="4"/>
              <w:left w:val="single" w:color="000000" w:sz="4"/>
              <w:bottom w:val="single" w:color="000000" w:sz="4"/>
              <w:right w:val="single" w:color="000000" w:sz="4"/>
            </w:tcBorders>
          </w:tcPr>
          <w:p/>
        </w:tc>
        <w:tc>
          <w:tcPr>
            <w:tcW w:type="dxa" w:w="1127"/>
            <w:vMerge/>
            <w:tcBorders>
              <w:top w:val="none" w:color="000000" w:sz="4"/>
              <w:left w:val="single" w:color="000000" w:sz="4"/>
              <w:bottom w:val="single" w:color="000000" w:sz="4"/>
              <w:right w:val="single" w:color="000000" w:sz="4"/>
            </w:tcBorders>
          </w:tcPr>
          <w:p/>
        </w:tc>
        <w:tc>
          <w:tcPr>
            <w:tcW w:type="dxa" w:w="1394"/>
            <w:vMerge/>
            <w:tcBorders>
              <w:top w:val="none" w:color="000000" w:sz="4"/>
              <w:left w:val="single" w:color="000000" w:sz="4"/>
              <w:bottom w:val="single" w:color="000000" w:sz="4"/>
              <w:right w:val="single" w:color="000000" w:sz="4"/>
            </w:tcBorders>
          </w:tcPr>
          <w:p/>
        </w:tc>
      </w:tr>
      <w:tr>
        <w:tc>
          <w:tcPr>
            <w:tcW w:type="dxa" w:w="860"/>
            <w:vMerge/>
            <w:tcBorders>
              <w:top w:val="none" w:color="000000" w:sz="4"/>
              <w:left w:val="single" w:color="000000" w:sz="4"/>
              <w:bottom w:val="single" w:color="000000" w:sz="4"/>
              <w:right w:val="single" w:color="000000" w:sz="4"/>
            </w:tcBorders>
          </w:tcPr>
          <w:p/>
        </w:tc>
        <w:tc>
          <w:tcPr>
            <w:tcW w:type="dxa" w:w="6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13</w:t>
            </w:r>
          </w:p>
        </w:tc>
        <w:tc>
          <w:tcPr>
            <w:tcW w:type="dxa" w:w="20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糖果制品</w:t>
            </w:r>
          </w:p>
        </w:tc>
        <w:tc>
          <w:tcPr>
            <w:tcW w:type="dxa" w:w="13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9</w:t>
            </w:r>
          </w:p>
        </w:tc>
        <w:tc>
          <w:tcPr>
            <w:tcW w:type="dxa" w:w="909"/>
            <w:vMerge/>
            <w:tcBorders>
              <w:top w:val="none" w:color="000000" w:sz="4"/>
              <w:left w:val="single" w:color="000000" w:sz="4"/>
              <w:bottom w:val="single" w:color="000000" w:sz="4"/>
              <w:right w:val="single" w:color="000000" w:sz="4"/>
            </w:tcBorders>
          </w:tcPr>
          <w:p/>
        </w:tc>
        <w:tc>
          <w:tcPr>
            <w:tcW w:type="dxa" w:w="1127"/>
            <w:vMerge/>
            <w:tcBorders>
              <w:top w:val="none" w:color="000000" w:sz="4"/>
              <w:left w:val="single" w:color="000000" w:sz="4"/>
              <w:bottom w:val="single" w:color="000000" w:sz="4"/>
              <w:right w:val="single" w:color="000000" w:sz="4"/>
            </w:tcBorders>
          </w:tcPr>
          <w:p/>
        </w:tc>
        <w:tc>
          <w:tcPr>
            <w:tcW w:type="dxa" w:w="1394"/>
            <w:vMerge/>
            <w:tcBorders>
              <w:top w:val="none" w:color="000000" w:sz="4"/>
              <w:left w:val="single" w:color="000000" w:sz="4"/>
              <w:bottom w:val="single" w:color="000000" w:sz="4"/>
              <w:right w:val="single" w:color="000000" w:sz="4"/>
            </w:tcBorders>
          </w:tcPr>
          <w:p/>
        </w:tc>
      </w:tr>
      <w:tr>
        <w:tc>
          <w:tcPr>
            <w:tcW w:type="dxa" w:w="860"/>
            <w:vMerge/>
            <w:tcBorders>
              <w:top w:val="none" w:color="000000" w:sz="4"/>
              <w:left w:val="single" w:color="000000" w:sz="4"/>
              <w:bottom w:val="single" w:color="000000" w:sz="4"/>
              <w:right w:val="single" w:color="000000" w:sz="4"/>
            </w:tcBorders>
          </w:tcPr>
          <w:p/>
        </w:tc>
        <w:tc>
          <w:tcPr>
            <w:tcW w:type="dxa" w:w="6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14</w:t>
            </w:r>
          </w:p>
        </w:tc>
        <w:tc>
          <w:tcPr>
            <w:tcW w:type="dxa" w:w="20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茶叶及相关制品</w:t>
            </w:r>
          </w:p>
        </w:tc>
        <w:tc>
          <w:tcPr>
            <w:tcW w:type="dxa" w:w="13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33</w:t>
            </w:r>
          </w:p>
        </w:tc>
        <w:tc>
          <w:tcPr>
            <w:tcW w:type="dxa" w:w="909"/>
            <w:vMerge/>
            <w:tcBorders>
              <w:top w:val="none" w:color="000000" w:sz="4"/>
              <w:left w:val="single" w:color="000000" w:sz="4"/>
              <w:bottom w:val="single" w:color="000000" w:sz="4"/>
              <w:right w:val="single" w:color="000000" w:sz="4"/>
            </w:tcBorders>
          </w:tcPr>
          <w:p/>
        </w:tc>
        <w:tc>
          <w:tcPr>
            <w:tcW w:type="dxa" w:w="1127"/>
            <w:vMerge/>
            <w:tcBorders>
              <w:top w:val="none" w:color="000000" w:sz="4"/>
              <w:left w:val="single" w:color="000000" w:sz="4"/>
              <w:bottom w:val="single" w:color="000000" w:sz="4"/>
              <w:right w:val="single" w:color="000000" w:sz="4"/>
            </w:tcBorders>
          </w:tcPr>
          <w:p/>
        </w:tc>
        <w:tc>
          <w:tcPr>
            <w:tcW w:type="dxa" w:w="1394"/>
            <w:vMerge/>
            <w:tcBorders>
              <w:top w:val="none" w:color="000000" w:sz="4"/>
              <w:left w:val="single" w:color="000000" w:sz="4"/>
              <w:bottom w:val="single" w:color="000000" w:sz="4"/>
              <w:right w:val="single" w:color="000000" w:sz="4"/>
            </w:tcBorders>
          </w:tcPr>
          <w:p/>
        </w:tc>
      </w:tr>
      <w:tr>
        <w:tc>
          <w:tcPr>
            <w:tcW w:type="dxa" w:w="860"/>
            <w:vMerge/>
            <w:tcBorders>
              <w:top w:val="none" w:color="000000" w:sz="4"/>
              <w:left w:val="single" w:color="000000" w:sz="4"/>
              <w:bottom w:val="single" w:color="000000" w:sz="4"/>
              <w:right w:val="single" w:color="000000" w:sz="4"/>
            </w:tcBorders>
          </w:tcPr>
          <w:p/>
        </w:tc>
        <w:tc>
          <w:tcPr>
            <w:tcW w:type="dxa" w:w="6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15</w:t>
            </w:r>
          </w:p>
        </w:tc>
        <w:tc>
          <w:tcPr>
            <w:tcW w:type="dxa" w:w="20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酒类</w:t>
            </w:r>
          </w:p>
        </w:tc>
        <w:tc>
          <w:tcPr>
            <w:tcW w:type="dxa" w:w="13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18</w:t>
            </w:r>
          </w:p>
        </w:tc>
        <w:tc>
          <w:tcPr>
            <w:tcW w:type="dxa" w:w="909"/>
            <w:vMerge/>
            <w:tcBorders>
              <w:top w:val="none" w:color="000000" w:sz="4"/>
              <w:left w:val="single" w:color="000000" w:sz="4"/>
              <w:bottom w:val="single" w:color="000000" w:sz="4"/>
              <w:right w:val="single" w:color="000000" w:sz="4"/>
            </w:tcBorders>
          </w:tcPr>
          <w:p/>
        </w:tc>
        <w:tc>
          <w:tcPr>
            <w:tcW w:type="dxa" w:w="1127"/>
            <w:vMerge/>
            <w:tcBorders>
              <w:top w:val="none" w:color="000000" w:sz="4"/>
              <w:left w:val="single" w:color="000000" w:sz="4"/>
              <w:bottom w:val="single" w:color="000000" w:sz="4"/>
              <w:right w:val="single" w:color="000000" w:sz="4"/>
            </w:tcBorders>
          </w:tcPr>
          <w:p/>
        </w:tc>
        <w:tc>
          <w:tcPr>
            <w:tcW w:type="dxa" w:w="1394"/>
            <w:vMerge/>
            <w:tcBorders>
              <w:top w:val="none" w:color="000000" w:sz="4"/>
              <w:left w:val="single" w:color="000000" w:sz="4"/>
              <w:bottom w:val="single" w:color="000000" w:sz="4"/>
              <w:right w:val="single" w:color="000000" w:sz="4"/>
            </w:tcBorders>
          </w:tcPr>
          <w:p/>
        </w:tc>
      </w:tr>
      <w:tr>
        <w:tc>
          <w:tcPr>
            <w:tcW w:type="dxa" w:w="860"/>
            <w:vMerge/>
            <w:tcBorders>
              <w:top w:val="none" w:color="000000" w:sz="4"/>
              <w:left w:val="single" w:color="000000" w:sz="4"/>
              <w:bottom w:val="single" w:color="000000" w:sz="4"/>
              <w:right w:val="single" w:color="000000" w:sz="4"/>
            </w:tcBorders>
          </w:tcPr>
          <w:p/>
        </w:tc>
        <w:tc>
          <w:tcPr>
            <w:tcW w:type="dxa" w:w="6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w:t>
            </w:r>
          </w:p>
        </w:tc>
        <w:tc>
          <w:tcPr>
            <w:tcW w:type="dxa" w:w="20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蔬菜制品</w:t>
            </w:r>
          </w:p>
        </w:tc>
        <w:tc>
          <w:tcPr>
            <w:tcW w:type="dxa" w:w="13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36</w:t>
            </w:r>
          </w:p>
        </w:tc>
        <w:tc>
          <w:tcPr>
            <w:tcW w:type="dxa" w:w="909"/>
            <w:vMerge/>
            <w:tcBorders>
              <w:top w:val="none" w:color="000000" w:sz="4"/>
              <w:left w:val="single" w:color="000000" w:sz="4"/>
              <w:bottom w:val="single" w:color="000000" w:sz="4"/>
              <w:right w:val="single" w:color="000000" w:sz="4"/>
            </w:tcBorders>
          </w:tcPr>
          <w:p/>
        </w:tc>
        <w:tc>
          <w:tcPr>
            <w:tcW w:type="dxa" w:w="1127"/>
            <w:vMerge/>
            <w:tcBorders>
              <w:top w:val="none" w:color="000000" w:sz="4"/>
              <w:left w:val="single" w:color="000000" w:sz="4"/>
              <w:bottom w:val="single" w:color="000000" w:sz="4"/>
              <w:right w:val="single" w:color="000000" w:sz="4"/>
            </w:tcBorders>
          </w:tcPr>
          <w:p/>
        </w:tc>
        <w:tc>
          <w:tcPr>
            <w:tcW w:type="dxa" w:w="1394"/>
            <w:vMerge/>
            <w:tcBorders>
              <w:top w:val="none" w:color="000000" w:sz="4"/>
              <w:left w:val="single" w:color="000000" w:sz="4"/>
              <w:bottom w:val="single" w:color="000000" w:sz="4"/>
              <w:right w:val="single" w:color="000000" w:sz="4"/>
            </w:tcBorders>
          </w:tcPr>
          <w:p/>
        </w:tc>
      </w:tr>
      <w:tr>
        <w:tc>
          <w:tcPr>
            <w:tcW w:type="dxa" w:w="860"/>
            <w:vMerge/>
            <w:tcBorders>
              <w:top w:val="none" w:color="000000" w:sz="4"/>
              <w:left w:val="single" w:color="000000" w:sz="4"/>
              <w:bottom w:val="single" w:color="000000" w:sz="4"/>
              <w:right w:val="single" w:color="000000" w:sz="4"/>
            </w:tcBorders>
          </w:tcPr>
          <w:p/>
        </w:tc>
        <w:tc>
          <w:tcPr>
            <w:tcW w:type="dxa" w:w="6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17</w:t>
            </w:r>
          </w:p>
        </w:tc>
        <w:tc>
          <w:tcPr>
            <w:tcW w:type="dxa" w:w="20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水果制品</w:t>
            </w:r>
          </w:p>
        </w:tc>
        <w:tc>
          <w:tcPr>
            <w:tcW w:type="dxa" w:w="13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4</w:t>
            </w:r>
          </w:p>
        </w:tc>
        <w:tc>
          <w:tcPr>
            <w:tcW w:type="dxa" w:w="909"/>
            <w:vMerge/>
            <w:tcBorders>
              <w:top w:val="none" w:color="000000" w:sz="4"/>
              <w:left w:val="single" w:color="000000" w:sz="4"/>
              <w:bottom w:val="single" w:color="000000" w:sz="4"/>
              <w:right w:val="single" w:color="000000" w:sz="4"/>
            </w:tcBorders>
          </w:tcPr>
          <w:p/>
        </w:tc>
        <w:tc>
          <w:tcPr>
            <w:tcW w:type="dxa" w:w="1127"/>
            <w:vMerge/>
            <w:tcBorders>
              <w:top w:val="none" w:color="000000" w:sz="4"/>
              <w:left w:val="single" w:color="000000" w:sz="4"/>
              <w:bottom w:val="single" w:color="000000" w:sz="4"/>
              <w:right w:val="single" w:color="000000" w:sz="4"/>
            </w:tcBorders>
          </w:tcPr>
          <w:p/>
        </w:tc>
        <w:tc>
          <w:tcPr>
            <w:tcW w:type="dxa" w:w="1394"/>
            <w:vMerge/>
            <w:tcBorders>
              <w:top w:val="none" w:color="000000" w:sz="4"/>
              <w:left w:val="single" w:color="000000" w:sz="4"/>
              <w:bottom w:val="single" w:color="000000" w:sz="4"/>
              <w:right w:val="single" w:color="000000" w:sz="4"/>
            </w:tcBorders>
          </w:tcPr>
          <w:p/>
        </w:tc>
      </w:tr>
      <w:tr>
        <w:tc>
          <w:tcPr>
            <w:tcW w:type="dxa" w:w="860"/>
            <w:vMerge/>
            <w:tcBorders>
              <w:top w:val="none" w:color="000000" w:sz="4"/>
              <w:left w:val="single" w:color="000000" w:sz="4"/>
              <w:bottom w:val="single" w:color="000000" w:sz="4"/>
              <w:right w:val="single" w:color="000000" w:sz="4"/>
            </w:tcBorders>
          </w:tcPr>
          <w:p/>
        </w:tc>
        <w:tc>
          <w:tcPr>
            <w:tcW w:type="dxa" w:w="6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18</w:t>
            </w:r>
          </w:p>
        </w:tc>
        <w:tc>
          <w:tcPr>
            <w:tcW w:type="dxa" w:w="20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蛋制品</w:t>
            </w:r>
          </w:p>
        </w:tc>
        <w:tc>
          <w:tcPr>
            <w:tcW w:type="dxa" w:w="13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14</w:t>
            </w:r>
          </w:p>
        </w:tc>
        <w:tc>
          <w:tcPr>
            <w:tcW w:type="dxa" w:w="909"/>
            <w:vMerge/>
            <w:tcBorders>
              <w:top w:val="none" w:color="000000" w:sz="4"/>
              <w:left w:val="single" w:color="000000" w:sz="4"/>
              <w:bottom w:val="single" w:color="000000" w:sz="4"/>
              <w:right w:val="single" w:color="000000" w:sz="4"/>
            </w:tcBorders>
          </w:tcPr>
          <w:p/>
        </w:tc>
        <w:tc>
          <w:tcPr>
            <w:tcW w:type="dxa" w:w="1127"/>
            <w:vMerge/>
            <w:tcBorders>
              <w:top w:val="none" w:color="000000" w:sz="4"/>
              <w:left w:val="single" w:color="000000" w:sz="4"/>
              <w:bottom w:val="single" w:color="000000" w:sz="4"/>
              <w:right w:val="single" w:color="000000" w:sz="4"/>
            </w:tcBorders>
          </w:tcPr>
          <w:p/>
        </w:tc>
        <w:tc>
          <w:tcPr>
            <w:tcW w:type="dxa" w:w="1394"/>
            <w:vMerge/>
            <w:tcBorders>
              <w:top w:val="none" w:color="000000" w:sz="4"/>
              <w:left w:val="single" w:color="000000" w:sz="4"/>
              <w:bottom w:val="single" w:color="000000" w:sz="4"/>
              <w:right w:val="single" w:color="000000" w:sz="4"/>
            </w:tcBorders>
          </w:tcPr>
          <w:p/>
        </w:tc>
      </w:tr>
      <w:tr>
        <w:tc>
          <w:tcPr>
            <w:tcW w:type="dxa" w:w="860"/>
            <w:vMerge/>
            <w:tcBorders>
              <w:top w:val="none" w:color="000000" w:sz="4"/>
              <w:left w:val="single" w:color="000000" w:sz="4"/>
              <w:bottom w:val="single" w:color="000000" w:sz="4"/>
              <w:right w:val="single" w:color="000000" w:sz="4"/>
            </w:tcBorders>
          </w:tcPr>
          <w:p/>
        </w:tc>
        <w:tc>
          <w:tcPr>
            <w:tcW w:type="dxa" w:w="6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19</w:t>
            </w:r>
          </w:p>
        </w:tc>
        <w:tc>
          <w:tcPr>
            <w:tcW w:type="dxa" w:w="20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可可及焙烤咖啡产品</w:t>
            </w:r>
          </w:p>
        </w:tc>
        <w:tc>
          <w:tcPr>
            <w:tcW w:type="dxa" w:w="13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909"/>
            <w:vMerge/>
            <w:tcBorders>
              <w:top w:val="none" w:color="000000" w:sz="4"/>
              <w:left w:val="single" w:color="000000" w:sz="4"/>
              <w:bottom w:val="single" w:color="000000" w:sz="4"/>
              <w:right w:val="single" w:color="000000" w:sz="4"/>
            </w:tcBorders>
          </w:tcPr>
          <w:p/>
        </w:tc>
        <w:tc>
          <w:tcPr>
            <w:tcW w:type="dxa" w:w="1127"/>
            <w:vMerge/>
            <w:tcBorders>
              <w:top w:val="none" w:color="000000" w:sz="4"/>
              <w:left w:val="single" w:color="000000" w:sz="4"/>
              <w:bottom w:val="single" w:color="000000" w:sz="4"/>
              <w:right w:val="single" w:color="000000" w:sz="4"/>
            </w:tcBorders>
          </w:tcPr>
          <w:p/>
        </w:tc>
        <w:tc>
          <w:tcPr>
            <w:tcW w:type="dxa" w:w="1394"/>
            <w:vMerge/>
            <w:tcBorders>
              <w:top w:val="none" w:color="000000" w:sz="4"/>
              <w:left w:val="single" w:color="000000" w:sz="4"/>
              <w:bottom w:val="single" w:color="000000" w:sz="4"/>
              <w:right w:val="single" w:color="000000" w:sz="4"/>
            </w:tcBorders>
          </w:tcPr>
          <w:p/>
        </w:tc>
      </w:tr>
      <w:tr>
        <w:tc>
          <w:tcPr>
            <w:tcW w:type="dxa" w:w="860"/>
            <w:vMerge/>
            <w:tcBorders>
              <w:top w:val="none" w:color="000000" w:sz="4"/>
              <w:left w:val="single" w:color="000000" w:sz="4"/>
              <w:bottom w:val="single" w:color="000000" w:sz="4"/>
              <w:right w:val="single" w:color="000000" w:sz="4"/>
            </w:tcBorders>
          </w:tcPr>
          <w:p/>
        </w:tc>
        <w:tc>
          <w:tcPr>
            <w:tcW w:type="dxa" w:w="6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20</w:t>
            </w:r>
          </w:p>
        </w:tc>
        <w:tc>
          <w:tcPr>
            <w:tcW w:type="dxa" w:w="20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食糖</w:t>
            </w:r>
          </w:p>
        </w:tc>
        <w:tc>
          <w:tcPr>
            <w:tcW w:type="dxa" w:w="13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9</w:t>
            </w:r>
          </w:p>
        </w:tc>
        <w:tc>
          <w:tcPr>
            <w:tcW w:type="dxa" w:w="909"/>
            <w:vMerge/>
            <w:tcBorders>
              <w:top w:val="none" w:color="000000" w:sz="4"/>
              <w:left w:val="single" w:color="000000" w:sz="4"/>
              <w:bottom w:val="single" w:color="000000" w:sz="4"/>
              <w:right w:val="single" w:color="000000" w:sz="4"/>
            </w:tcBorders>
          </w:tcPr>
          <w:p/>
        </w:tc>
        <w:tc>
          <w:tcPr>
            <w:tcW w:type="dxa" w:w="1127"/>
            <w:vMerge/>
            <w:tcBorders>
              <w:top w:val="none" w:color="000000" w:sz="4"/>
              <w:left w:val="single" w:color="000000" w:sz="4"/>
              <w:bottom w:val="single" w:color="000000" w:sz="4"/>
              <w:right w:val="single" w:color="000000" w:sz="4"/>
            </w:tcBorders>
          </w:tcPr>
          <w:p/>
        </w:tc>
        <w:tc>
          <w:tcPr>
            <w:tcW w:type="dxa" w:w="1394"/>
            <w:vMerge/>
            <w:tcBorders>
              <w:top w:val="none" w:color="000000" w:sz="4"/>
              <w:left w:val="single" w:color="000000" w:sz="4"/>
              <w:bottom w:val="single" w:color="000000" w:sz="4"/>
              <w:right w:val="single" w:color="000000" w:sz="4"/>
            </w:tcBorders>
          </w:tcPr>
          <w:p/>
        </w:tc>
      </w:tr>
      <w:tr>
        <w:tc>
          <w:tcPr>
            <w:tcW w:type="dxa" w:w="860"/>
            <w:vMerge/>
            <w:tcBorders>
              <w:top w:val="none" w:color="000000" w:sz="4"/>
              <w:left w:val="single" w:color="000000" w:sz="4"/>
              <w:bottom w:val="single" w:color="000000" w:sz="4"/>
              <w:right w:val="single" w:color="000000" w:sz="4"/>
            </w:tcBorders>
          </w:tcPr>
          <w:p/>
        </w:tc>
        <w:tc>
          <w:tcPr>
            <w:tcW w:type="dxa" w:w="6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21</w:t>
            </w:r>
          </w:p>
        </w:tc>
        <w:tc>
          <w:tcPr>
            <w:tcW w:type="dxa" w:w="20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水产制品</w:t>
            </w:r>
          </w:p>
        </w:tc>
        <w:tc>
          <w:tcPr>
            <w:tcW w:type="dxa" w:w="13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29</w:t>
            </w:r>
          </w:p>
        </w:tc>
        <w:tc>
          <w:tcPr>
            <w:tcW w:type="dxa" w:w="909"/>
            <w:vMerge/>
            <w:tcBorders>
              <w:top w:val="none" w:color="000000" w:sz="4"/>
              <w:left w:val="single" w:color="000000" w:sz="4"/>
              <w:bottom w:val="single" w:color="000000" w:sz="4"/>
              <w:right w:val="single" w:color="000000" w:sz="4"/>
            </w:tcBorders>
          </w:tcPr>
          <w:p/>
        </w:tc>
        <w:tc>
          <w:tcPr>
            <w:tcW w:type="dxa" w:w="1127"/>
            <w:vMerge/>
            <w:tcBorders>
              <w:top w:val="none" w:color="000000" w:sz="4"/>
              <w:left w:val="single" w:color="000000" w:sz="4"/>
              <w:bottom w:val="single" w:color="000000" w:sz="4"/>
              <w:right w:val="single" w:color="000000" w:sz="4"/>
            </w:tcBorders>
          </w:tcPr>
          <w:p/>
        </w:tc>
        <w:tc>
          <w:tcPr>
            <w:tcW w:type="dxa" w:w="1394"/>
            <w:vMerge/>
            <w:tcBorders>
              <w:top w:val="none" w:color="000000" w:sz="4"/>
              <w:left w:val="single" w:color="000000" w:sz="4"/>
              <w:bottom w:val="single" w:color="000000" w:sz="4"/>
              <w:right w:val="single" w:color="000000" w:sz="4"/>
            </w:tcBorders>
          </w:tcPr>
          <w:p/>
        </w:tc>
      </w:tr>
      <w:tr>
        <w:tc>
          <w:tcPr>
            <w:tcW w:type="dxa" w:w="860"/>
            <w:vMerge/>
            <w:tcBorders>
              <w:top w:val="none" w:color="000000" w:sz="4"/>
              <w:left w:val="single" w:color="000000" w:sz="4"/>
              <w:bottom w:val="single" w:color="000000" w:sz="4"/>
              <w:right w:val="single" w:color="000000" w:sz="4"/>
            </w:tcBorders>
          </w:tcPr>
          <w:p/>
        </w:tc>
        <w:tc>
          <w:tcPr>
            <w:tcW w:type="dxa" w:w="6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22</w:t>
            </w:r>
          </w:p>
        </w:tc>
        <w:tc>
          <w:tcPr>
            <w:tcW w:type="dxa" w:w="20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蜂产品</w:t>
            </w:r>
          </w:p>
        </w:tc>
        <w:tc>
          <w:tcPr>
            <w:tcW w:type="dxa" w:w="13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10</w:t>
            </w:r>
          </w:p>
        </w:tc>
        <w:tc>
          <w:tcPr>
            <w:tcW w:type="dxa" w:w="909"/>
            <w:vMerge/>
            <w:tcBorders>
              <w:top w:val="none" w:color="000000" w:sz="4"/>
              <w:left w:val="single" w:color="000000" w:sz="4"/>
              <w:bottom w:val="single" w:color="000000" w:sz="4"/>
              <w:right w:val="single" w:color="000000" w:sz="4"/>
            </w:tcBorders>
          </w:tcPr>
          <w:p/>
        </w:tc>
        <w:tc>
          <w:tcPr>
            <w:tcW w:type="dxa" w:w="1127"/>
            <w:vMerge/>
            <w:tcBorders>
              <w:top w:val="none" w:color="000000" w:sz="4"/>
              <w:left w:val="single" w:color="000000" w:sz="4"/>
              <w:bottom w:val="single" w:color="000000" w:sz="4"/>
              <w:right w:val="single" w:color="000000" w:sz="4"/>
            </w:tcBorders>
          </w:tcPr>
          <w:p/>
        </w:tc>
        <w:tc>
          <w:tcPr>
            <w:tcW w:type="dxa" w:w="1394"/>
            <w:vMerge/>
            <w:tcBorders>
              <w:top w:val="none" w:color="000000" w:sz="4"/>
              <w:left w:val="single" w:color="000000" w:sz="4"/>
              <w:bottom w:val="single" w:color="000000" w:sz="4"/>
              <w:right w:val="single" w:color="000000" w:sz="4"/>
            </w:tcBorders>
          </w:tcPr>
          <w:p/>
        </w:tc>
      </w:tr>
      <w:tr>
        <w:tc>
          <w:tcPr>
            <w:tcW w:type="dxa" w:w="860"/>
            <w:vMerge/>
            <w:tcBorders>
              <w:top w:val="none" w:color="000000" w:sz="4"/>
              <w:left w:val="single" w:color="000000" w:sz="4"/>
              <w:bottom w:val="single" w:color="000000" w:sz="4"/>
              <w:right w:val="single" w:color="000000" w:sz="4"/>
            </w:tcBorders>
          </w:tcPr>
          <w:p/>
        </w:tc>
        <w:tc>
          <w:tcPr>
            <w:tcW w:type="dxa" w:w="6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23</w:t>
            </w:r>
          </w:p>
        </w:tc>
        <w:tc>
          <w:tcPr>
            <w:tcW w:type="dxa" w:w="20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特殊膳食食品</w:t>
            </w:r>
          </w:p>
        </w:tc>
        <w:tc>
          <w:tcPr>
            <w:tcW w:type="dxa" w:w="13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10</w:t>
            </w:r>
          </w:p>
        </w:tc>
        <w:tc>
          <w:tcPr>
            <w:tcW w:type="dxa" w:w="909"/>
            <w:vMerge/>
            <w:tcBorders>
              <w:top w:val="none" w:color="000000" w:sz="4"/>
              <w:left w:val="single" w:color="000000" w:sz="4"/>
              <w:bottom w:val="single" w:color="000000" w:sz="4"/>
              <w:right w:val="single" w:color="000000" w:sz="4"/>
            </w:tcBorders>
          </w:tcPr>
          <w:p/>
        </w:tc>
        <w:tc>
          <w:tcPr>
            <w:tcW w:type="dxa" w:w="1127"/>
            <w:vMerge/>
            <w:tcBorders>
              <w:top w:val="none" w:color="000000" w:sz="4"/>
              <w:left w:val="single" w:color="000000" w:sz="4"/>
              <w:bottom w:val="single" w:color="000000" w:sz="4"/>
              <w:right w:val="single" w:color="000000" w:sz="4"/>
            </w:tcBorders>
          </w:tcPr>
          <w:p/>
        </w:tc>
        <w:tc>
          <w:tcPr>
            <w:tcW w:type="dxa" w:w="1394"/>
            <w:vMerge/>
            <w:tcBorders>
              <w:top w:val="none" w:color="000000" w:sz="4"/>
              <w:left w:val="single" w:color="000000" w:sz="4"/>
              <w:bottom w:val="single" w:color="000000" w:sz="4"/>
              <w:right w:val="single" w:color="000000" w:sz="4"/>
            </w:tcBorders>
          </w:tcPr>
          <w:p/>
        </w:tc>
      </w:tr>
      <w:tr>
        <w:tc>
          <w:tcPr>
            <w:tcW w:type="dxa" w:w="860"/>
            <w:vMerge/>
            <w:tcBorders>
              <w:top w:val="none" w:color="000000" w:sz="4"/>
              <w:left w:val="single" w:color="000000" w:sz="4"/>
              <w:bottom w:val="single" w:color="000000" w:sz="4"/>
              <w:right w:val="single" w:color="000000" w:sz="4"/>
            </w:tcBorders>
          </w:tcPr>
          <w:p/>
        </w:tc>
        <w:tc>
          <w:tcPr>
            <w:tcW w:type="dxa" w:w="6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24</w:t>
            </w:r>
          </w:p>
        </w:tc>
        <w:tc>
          <w:tcPr>
            <w:tcW w:type="dxa" w:w="20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食品添加剂</w:t>
            </w:r>
          </w:p>
        </w:tc>
        <w:tc>
          <w:tcPr>
            <w:tcW w:type="dxa" w:w="13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5</w:t>
            </w:r>
          </w:p>
        </w:tc>
        <w:tc>
          <w:tcPr>
            <w:tcW w:type="dxa" w:w="909"/>
            <w:vMerge/>
            <w:tcBorders>
              <w:top w:val="none" w:color="000000" w:sz="4"/>
              <w:left w:val="single" w:color="000000" w:sz="4"/>
              <w:bottom w:val="single" w:color="000000" w:sz="4"/>
              <w:right w:val="single" w:color="000000" w:sz="4"/>
            </w:tcBorders>
          </w:tcPr>
          <w:p/>
        </w:tc>
        <w:tc>
          <w:tcPr>
            <w:tcW w:type="dxa" w:w="1127"/>
            <w:vMerge/>
            <w:tcBorders>
              <w:top w:val="none" w:color="000000" w:sz="4"/>
              <w:left w:val="single" w:color="000000" w:sz="4"/>
              <w:bottom w:val="single" w:color="000000" w:sz="4"/>
              <w:right w:val="single" w:color="000000" w:sz="4"/>
            </w:tcBorders>
          </w:tcPr>
          <w:p/>
        </w:tc>
        <w:tc>
          <w:tcPr>
            <w:tcW w:type="dxa" w:w="1394"/>
            <w:vMerge/>
            <w:tcBorders>
              <w:top w:val="none" w:color="000000" w:sz="4"/>
              <w:left w:val="single" w:color="000000" w:sz="4"/>
              <w:bottom w:val="single" w:color="000000" w:sz="4"/>
              <w:right w:val="single" w:color="000000" w:sz="4"/>
            </w:tcBorders>
          </w:tcPr>
          <w:p/>
        </w:tc>
      </w:tr>
      <w:tr>
        <w:tc>
          <w:tcPr>
            <w:tcW w:type="dxa" w:w="860"/>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食用农产品、生产（小作坊）环节食品抽检</w:t>
            </w:r>
          </w:p>
        </w:tc>
        <w:tc>
          <w:tcPr>
            <w:tcW w:type="dxa" w:w="6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20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蔬菜</w:t>
            </w:r>
          </w:p>
        </w:tc>
        <w:tc>
          <w:tcPr>
            <w:tcW w:type="dxa" w:w="13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392</w:t>
            </w:r>
          </w:p>
        </w:tc>
        <w:tc>
          <w:tcPr>
            <w:tcW w:type="dxa" w:w="909"/>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不少于517批</w:t>
            </w:r>
          </w:p>
        </w:tc>
        <w:tc>
          <w:tcPr>
            <w:tcW w:type="dxa" w:w="1127"/>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84.00</w:t>
            </w:r>
          </w:p>
        </w:tc>
        <w:tc>
          <w:tcPr>
            <w:tcW w:type="dxa" w:w="1394"/>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根据需要承担应急抽检任务、技术服务工作。</w:t>
            </w:r>
          </w:p>
        </w:tc>
      </w:tr>
      <w:tr>
        <w:tc>
          <w:tcPr>
            <w:tcW w:type="dxa" w:w="860"/>
            <w:vMerge/>
            <w:tcBorders>
              <w:top w:val="none" w:color="000000" w:sz="4"/>
              <w:left w:val="single" w:color="000000" w:sz="4"/>
              <w:bottom w:val="single" w:color="000000" w:sz="4"/>
              <w:right w:val="single" w:color="000000" w:sz="4"/>
            </w:tcBorders>
          </w:tcPr>
          <w:p/>
        </w:tc>
        <w:tc>
          <w:tcPr>
            <w:tcW w:type="dxa" w:w="6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20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豆类</w:t>
            </w:r>
          </w:p>
        </w:tc>
        <w:tc>
          <w:tcPr>
            <w:tcW w:type="dxa" w:w="13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w:t>
            </w:r>
          </w:p>
        </w:tc>
        <w:tc>
          <w:tcPr>
            <w:tcW w:type="dxa" w:w="909"/>
            <w:vMerge/>
            <w:tcBorders>
              <w:top w:val="none" w:color="000000" w:sz="4"/>
              <w:left w:val="single" w:color="000000" w:sz="4"/>
              <w:bottom w:val="single" w:color="000000" w:sz="4"/>
              <w:right w:val="single" w:color="000000" w:sz="4"/>
            </w:tcBorders>
          </w:tcPr>
          <w:p/>
        </w:tc>
        <w:tc>
          <w:tcPr>
            <w:tcW w:type="dxa" w:w="1127"/>
            <w:vMerge/>
            <w:tcBorders>
              <w:top w:val="none" w:color="000000" w:sz="4"/>
              <w:left w:val="single" w:color="000000" w:sz="4"/>
              <w:bottom w:val="single" w:color="000000" w:sz="4"/>
              <w:right w:val="single" w:color="000000" w:sz="4"/>
            </w:tcBorders>
          </w:tcPr>
          <w:p/>
        </w:tc>
        <w:tc>
          <w:tcPr>
            <w:tcW w:type="dxa" w:w="1394"/>
            <w:vMerge/>
            <w:tcBorders>
              <w:top w:val="none" w:color="000000" w:sz="4"/>
              <w:left w:val="single" w:color="000000" w:sz="4"/>
              <w:bottom w:val="single" w:color="000000" w:sz="4"/>
              <w:right w:val="single" w:color="000000" w:sz="4"/>
            </w:tcBorders>
          </w:tcPr>
          <w:p/>
        </w:tc>
      </w:tr>
      <w:tr>
        <w:tc>
          <w:tcPr>
            <w:tcW w:type="dxa" w:w="860"/>
            <w:vMerge/>
            <w:tcBorders>
              <w:top w:val="none" w:color="000000" w:sz="4"/>
              <w:left w:val="single" w:color="000000" w:sz="4"/>
              <w:bottom w:val="single" w:color="000000" w:sz="4"/>
              <w:right w:val="single" w:color="000000" w:sz="4"/>
            </w:tcBorders>
          </w:tcPr>
          <w:p/>
        </w:tc>
        <w:tc>
          <w:tcPr>
            <w:tcW w:type="dxa" w:w="6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w:t>
            </w:r>
          </w:p>
        </w:tc>
        <w:tc>
          <w:tcPr>
            <w:tcW w:type="dxa" w:w="20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生干坚果与籽类食品</w:t>
            </w:r>
          </w:p>
        </w:tc>
        <w:tc>
          <w:tcPr>
            <w:tcW w:type="dxa" w:w="13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9</w:t>
            </w:r>
          </w:p>
        </w:tc>
        <w:tc>
          <w:tcPr>
            <w:tcW w:type="dxa" w:w="909"/>
            <w:vMerge/>
            <w:tcBorders>
              <w:top w:val="none" w:color="000000" w:sz="4"/>
              <w:left w:val="single" w:color="000000" w:sz="4"/>
              <w:bottom w:val="single" w:color="000000" w:sz="4"/>
              <w:right w:val="single" w:color="000000" w:sz="4"/>
            </w:tcBorders>
          </w:tcPr>
          <w:p/>
        </w:tc>
        <w:tc>
          <w:tcPr>
            <w:tcW w:type="dxa" w:w="1127"/>
            <w:vMerge/>
            <w:tcBorders>
              <w:top w:val="none" w:color="000000" w:sz="4"/>
              <w:left w:val="single" w:color="000000" w:sz="4"/>
              <w:bottom w:val="single" w:color="000000" w:sz="4"/>
              <w:right w:val="single" w:color="000000" w:sz="4"/>
            </w:tcBorders>
          </w:tcPr>
          <w:p/>
        </w:tc>
        <w:tc>
          <w:tcPr>
            <w:tcW w:type="dxa" w:w="1394"/>
            <w:vMerge/>
            <w:tcBorders>
              <w:top w:val="none" w:color="000000" w:sz="4"/>
              <w:left w:val="single" w:color="000000" w:sz="4"/>
              <w:bottom w:val="single" w:color="000000" w:sz="4"/>
              <w:right w:val="single" w:color="000000" w:sz="4"/>
            </w:tcBorders>
          </w:tcPr>
          <w:p/>
        </w:tc>
      </w:tr>
      <w:tr>
        <w:tc>
          <w:tcPr>
            <w:tcW w:type="dxa" w:w="860"/>
            <w:vMerge/>
            <w:tcBorders>
              <w:top w:val="none" w:color="000000" w:sz="4"/>
              <w:left w:val="single" w:color="000000" w:sz="4"/>
              <w:bottom w:val="single" w:color="000000" w:sz="4"/>
              <w:right w:val="single" w:color="000000" w:sz="4"/>
            </w:tcBorders>
          </w:tcPr>
          <w:p/>
        </w:tc>
        <w:tc>
          <w:tcPr>
            <w:tcW w:type="dxa" w:w="6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4</w:t>
            </w:r>
          </w:p>
        </w:tc>
        <w:tc>
          <w:tcPr>
            <w:tcW w:type="dxa" w:w="20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粮食加工品</w:t>
            </w:r>
          </w:p>
        </w:tc>
        <w:tc>
          <w:tcPr>
            <w:tcW w:type="dxa" w:w="13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9</w:t>
            </w:r>
          </w:p>
        </w:tc>
        <w:tc>
          <w:tcPr>
            <w:tcW w:type="dxa" w:w="909"/>
            <w:vMerge/>
            <w:tcBorders>
              <w:top w:val="none" w:color="000000" w:sz="4"/>
              <w:left w:val="single" w:color="000000" w:sz="4"/>
              <w:bottom w:val="single" w:color="000000" w:sz="4"/>
              <w:right w:val="single" w:color="000000" w:sz="4"/>
            </w:tcBorders>
          </w:tcPr>
          <w:p/>
        </w:tc>
        <w:tc>
          <w:tcPr>
            <w:tcW w:type="dxa" w:w="1127"/>
            <w:vMerge/>
            <w:tcBorders>
              <w:top w:val="none" w:color="000000" w:sz="4"/>
              <w:left w:val="single" w:color="000000" w:sz="4"/>
              <w:bottom w:val="single" w:color="000000" w:sz="4"/>
              <w:right w:val="single" w:color="000000" w:sz="4"/>
            </w:tcBorders>
          </w:tcPr>
          <w:p/>
        </w:tc>
        <w:tc>
          <w:tcPr>
            <w:tcW w:type="dxa" w:w="1394"/>
            <w:vMerge/>
            <w:tcBorders>
              <w:top w:val="none" w:color="000000" w:sz="4"/>
              <w:left w:val="single" w:color="000000" w:sz="4"/>
              <w:bottom w:val="single" w:color="000000" w:sz="4"/>
              <w:right w:val="single" w:color="000000" w:sz="4"/>
            </w:tcBorders>
          </w:tcPr>
          <w:p/>
        </w:tc>
      </w:tr>
      <w:tr>
        <w:tc>
          <w:tcPr>
            <w:tcW w:type="dxa" w:w="860"/>
            <w:vMerge/>
            <w:tcBorders>
              <w:top w:val="none" w:color="000000" w:sz="4"/>
              <w:left w:val="single" w:color="000000" w:sz="4"/>
              <w:bottom w:val="single" w:color="000000" w:sz="4"/>
              <w:right w:val="single" w:color="000000" w:sz="4"/>
            </w:tcBorders>
          </w:tcPr>
          <w:p/>
        </w:tc>
        <w:tc>
          <w:tcPr>
            <w:tcW w:type="dxa" w:w="6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5</w:t>
            </w:r>
          </w:p>
        </w:tc>
        <w:tc>
          <w:tcPr>
            <w:tcW w:type="dxa" w:w="20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食用油、油脂及其制品</w:t>
            </w:r>
          </w:p>
        </w:tc>
        <w:tc>
          <w:tcPr>
            <w:tcW w:type="dxa" w:w="13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10</w:t>
            </w:r>
          </w:p>
        </w:tc>
        <w:tc>
          <w:tcPr>
            <w:tcW w:type="dxa" w:w="909"/>
            <w:vMerge/>
            <w:tcBorders>
              <w:top w:val="none" w:color="000000" w:sz="4"/>
              <w:left w:val="single" w:color="000000" w:sz="4"/>
              <w:bottom w:val="single" w:color="000000" w:sz="4"/>
              <w:right w:val="single" w:color="000000" w:sz="4"/>
            </w:tcBorders>
          </w:tcPr>
          <w:p/>
        </w:tc>
        <w:tc>
          <w:tcPr>
            <w:tcW w:type="dxa" w:w="1127"/>
            <w:vMerge/>
            <w:tcBorders>
              <w:top w:val="none" w:color="000000" w:sz="4"/>
              <w:left w:val="single" w:color="000000" w:sz="4"/>
              <w:bottom w:val="single" w:color="000000" w:sz="4"/>
              <w:right w:val="single" w:color="000000" w:sz="4"/>
            </w:tcBorders>
          </w:tcPr>
          <w:p/>
        </w:tc>
        <w:tc>
          <w:tcPr>
            <w:tcW w:type="dxa" w:w="1394"/>
            <w:vMerge/>
            <w:tcBorders>
              <w:top w:val="none" w:color="000000" w:sz="4"/>
              <w:left w:val="single" w:color="000000" w:sz="4"/>
              <w:bottom w:val="single" w:color="000000" w:sz="4"/>
              <w:right w:val="single" w:color="000000" w:sz="4"/>
            </w:tcBorders>
          </w:tcPr>
          <w:p/>
        </w:tc>
      </w:tr>
      <w:tr>
        <w:tc>
          <w:tcPr>
            <w:tcW w:type="dxa" w:w="860"/>
            <w:vMerge/>
            <w:tcBorders>
              <w:top w:val="none" w:color="000000" w:sz="4"/>
              <w:left w:val="single" w:color="000000" w:sz="4"/>
              <w:bottom w:val="single" w:color="000000" w:sz="4"/>
              <w:right w:val="single" w:color="000000" w:sz="4"/>
            </w:tcBorders>
          </w:tcPr>
          <w:p/>
        </w:tc>
        <w:tc>
          <w:tcPr>
            <w:tcW w:type="dxa" w:w="6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6</w:t>
            </w:r>
          </w:p>
        </w:tc>
        <w:tc>
          <w:tcPr>
            <w:tcW w:type="dxa" w:w="20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调味品</w:t>
            </w:r>
          </w:p>
        </w:tc>
        <w:tc>
          <w:tcPr>
            <w:tcW w:type="dxa" w:w="13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909"/>
            <w:vMerge/>
            <w:tcBorders>
              <w:top w:val="none" w:color="000000" w:sz="4"/>
              <w:left w:val="single" w:color="000000" w:sz="4"/>
              <w:bottom w:val="single" w:color="000000" w:sz="4"/>
              <w:right w:val="single" w:color="000000" w:sz="4"/>
            </w:tcBorders>
          </w:tcPr>
          <w:p/>
        </w:tc>
        <w:tc>
          <w:tcPr>
            <w:tcW w:type="dxa" w:w="1127"/>
            <w:vMerge/>
            <w:tcBorders>
              <w:top w:val="none" w:color="000000" w:sz="4"/>
              <w:left w:val="single" w:color="000000" w:sz="4"/>
              <w:bottom w:val="single" w:color="000000" w:sz="4"/>
              <w:right w:val="single" w:color="000000" w:sz="4"/>
            </w:tcBorders>
          </w:tcPr>
          <w:p/>
        </w:tc>
        <w:tc>
          <w:tcPr>
            <w:tcW w:type="dxa" w:w="1394"/>
            <w:vMerge/>
            <w:tcBorders>
              <w:top w:val="none" w:color="000000" w:sz="4"/>
              <w:left w:val="single" w:color="000000" w:sz="4"/>
              <w:bottom w:val="single" w:color="000000" w:sz="4"/>
              <w:right w:val="single" w:color="000000" w:sz="4"/>
            </w:tcBorders>
          </w:tcPr>
          <w:p/>
        </w:tc>
      </w:tr>
      <w:tr>
        <w:tc>
          <w:tcPr>
            <w:tcW w:type="dxa" w:w="860"/>
            <w:vMerge/>
            <w:tcBorders>
              <w:top w:val="none" w:color="000000" w:sz="4"/>
              <w:left w:val="single" w:color="000000" w:sz="4"/>
              <w:bottom w:val="single" w:color="000000" w:sz="4"/>
              <w:right w:val="single" w:color="000000" w:sz="4"/>
            </w:tcBorders>
          </w:tcPr>
          <w:p/>
        </w:tc>
        <w:tc>
          <w:tcPr>
            <w:tcW w:type="dxa" w:w="6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20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饮料</w:t>
            </w:r>
          </w:p>
        </w:tc>
        <w:tc>
          <w:tcPr>
            <w:tcW w:type="dxa" w:w="13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w:t>
            </w:r>
          </w:p>
        </w:tc>
        <w:tc>
          <w:tcPr>
            <w:tcW w:type="dxa" w:w="909"/>
            <w:vMerge/>
            <w:tcBorders>
              <w:top w:val="none" w:color="000000" w:sz="4"/>
              <w:left w:val="single" w:color="000000" w:sz="4"/>
              <w:bottom w:val="single" w:color="000000" w:sz="4"/>
              <w:right w:val="single" w:color="000000" w:sz="4"/>
            </w:tcBorders>
          </w:tcPr>
          <w:p/>
        </w:tc>
        <w:tc>
          <w:tcPr>
            <w:tcW w:type="dxa" w:w="1127"/>
            <w:vMerge/>
            <w:tcBorders>
              <w:top w:val="none" w:color="000000" w:sz="4"/>
              <w:left w:val="single" w:color="000000" w:sz="4"/>
              <w:bottom w:val="single" w:color="000000" w:sz="4"/>
              <w:right w:val="single" w:color="000000" w:sz="4"/>
            </w:tcBorders>
          </w:tcPr>
          <w:p/>
        </w:tc>
        <w:tc>
          <w:tcPr>
            <w:tcW w:type="dxa" w:w="1394"/>
            <w:vMerge/>
            <w:tcBorders>
              <w:top w:val="none" w:color="000000" w:sz="4"/>
              <w:left w:val="single" w:color="000000" w:sz="4"/>
              <w:bottom w:val="single" w:color="000000" w:sz="4"/>
              <w:right w:val="single" w:color="000000" w:sz="4"/>
            </w:tcBorders>
          </w:tcPr>
          <w:p/>
        </w:tc>
      </w:tr>
      <w:tr>
        <w:tc>
          <w:tcPr>
            <w:tcW w:type="dxa" w:w="860"/>
            <w:vMerge/>
            <w:tcBorders>
              <w:top w:val="none" w:color="000000" w:sz="4"/>
              <w:left w:val="single" w:color="000000" w:sz="4"/>
              <w:bottom w:val="single" w:color="000000" w:sz="4"/>
              <w:right w:val="single" w:color="000000" w:sz="4"/>
            </w:tcBorders>
          </w:tcPr>
          <w:p/>
        </w:tc>
        <w:tc>
          <w:tcPr>
            <w:tcW w:type="dxa" w:w="6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20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茶叶及相关制品</w:t>
            </w:r>
          </w:p>
        </w:tc>
        <w:tc>
          <w:tcPr>
            <w:tcW w:type="dxa" w:w="13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30</w:t>
            </w:r>
          </w:p>
        </w:tc>
        <w:tc>
          <w:tcPr>
            <w:tcW w:type="dxa" w:w="909"/>
            <w:vMerge/>
            <w:tcBorders>
              <w:top w:val="none" w:color="000000" w:sz="4"/>
              <w:left w:val="single" w:color="000000" w:sz="4"/>
              <w:bottom w:val="single" w:color="000000" w:sz="4"/>
              <w:right w:val="single" w:color="000000" w:sz="4"/>
            </w:tcBorders>
          </w:tcPr>
          <w:p/>
        </w:tc>
        <w:tc>
          <w:tcPr>
            <w:tcW w:type="dxa" w:w="1127"/>
            <w:vMerge/>
            <w:tcBorders>
              <w:top w:val="none" w:color="000000" w:sz="4"/>
              <w:left w:val="single" w:color="000000" w:sz="4"/>
              <w:bottom w:val="single" w:color="000000" w:sz="4"/>
              <w:right w:val="single" w:color="000000" w:sz="4"/>
            </w:tcBorders>
          </w:tcPr>
          <w:p/>
        </w:tc>
        <w:tc>
          <w:tcPr>
            <w:tcW w:type="dxa" w:w="1394"/>
            <w:vMerge/>
            <w:tcBorders>
              <w:top w:val="none" w:color="000000" w:sz="4"/>
              <w:left w:val="single" w:color="000000" w:sz="4"/>
              <w:bottom w:val="single" w:color="000000" w:sz="4"/>
              <w:right w:val="single" w:color="000000" w:sz="4"/>
            </w:tcBorders>
          </w:tcPr>
          <w:p/>
        </w:tc>
      </w:tr>
      <w:tr>
        <w:tc>
          <w:tcPr>
            <w:tcW w:type="dxa" w:w="860"/>
            <w:vMerge/>
            <w:tcBorders>
              <w:top w:val="none" w:color="000000" w:sz="4"/>
              <w:left w:val="single" w:color="000000" w:sz="4"/>
              <w:bottom w:val="single" w:color="000000" w:sz="4"/>
              <w:right w:val="single" w:color="000000" w:sz="4"/>
            </w:tcBorders>
          </w:tcPr>
          <w:p/>
        </w:tc>
        <w:tc>
          <w:tcPr>
            <w:tcW w:type="dxa" w:w="6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9</w:t>
            </w:r>
          </w:p>
        </w:tc>
        <w:tc>
          <w:tcPr>
            <w:tcW w:type="dxa" w:w="20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酒类</w:t>
            </w:r>
          </w:p>
        </w:tc>
        <w:tc>
          <w:tcPr>
            <w:tcW w:type="dxa" w:w="13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32</w:t>
            </w:r>
          </w:p>
        </w:tc>
        <w:tc>
          <w:tcPr>
            <w:tcW w:type="dxa" w:w="909"/>
            <w:vMerge/>
            <w:tcBorders>
              <w:top w:val="none" w:color="000000" w:sz="4"/>
              <w:left w:val="single" w:color="000000" w:sz="4"/>
              <w:bottom w:val="single" w:color="000000" w:sz="4"/>
              <w:right w:val="single" w:color="000000" w:sz="4"/>
            </w:tcBorders>
          </w:tcPr>
          <w:p/>
        </w:tc>
        <w:tc>
          <w:tcPr>
            <w:tcW w:type="dxa" w:w="1127"/>
            <w:vMerge/>
            <w:tcBorders>
              <w:top w:val="none" w:color="000000" w:sz="4"/>
              <w:left w:val="single" w:color="000000" w:sz="4"/>
              <w:bottom w:val="single" w:color="000000" w:sz="4"/>
              <w:right w:val="single" w:color="000000" w:sz="4"/>
            </w:tcBorders>
          </w:tcPr>
          <w:p/>
        </w:tc>
        <w:tc>
          <w:tcPr>
            <w:tcW w:type="dxa" w:w="1394"/>
            <w:vMerge/>
            <w:tcBorders>
              <w:top w:val="none" w:color="000000" w:sz="4"/>
              <w:left w:val="single" w:color="000000" w:sz="4"/>
              <w:bottom w:val="single" w:color="000000" w:sz="4"/>
              <w:right w:val="single" w:color="000000" w:sz="4"/>
            </w:tcBorders>
          </w:tcPr>
          <w:p/>
        </w:tc>
      </w:tr>
      <w:tr>
        <w:tc>
          <w:tcPr>
            <w:tcW w:type="dxa" w:w="860"/>
            <w:vMerge/>
            <w:tcBorders>
              <w:top w:val="none" w:color="000000" w:sz="4"/>
              <w:left w:val="single" w:color="000000" w:sz="4"/>
              <w:bottom w:val="single" w:color="000000" w:sz="4"/>
              <w:right w:val="single" w:color="000000" w:sz="4"/>
            </w:tcBorders>
          </w:tcPr>
          <w:p/>
        </w:tc>
        <w:tc>
          <w:tcPr>
            <w:tcW w:type="dxa" w:w="6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10</w:t>
            </w:r>
          </w:p>
        </w:tc>
        <w:tc>
          <w:tcPr>
            <w:tcW w:type="dxa" w:w="20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淀粉及淀粉制品</w:t>
            </w:r>
          </w:p>
        </w:tc>
        <w:tc>
          <w:tcPr>
            <w:tcW w:type="dxa" w:w="13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909"/>
            <w:vMerge/>
            <w:tcBorders>
              <w:top w:val="none" w:color="000000" w:sz="4"/>
              <w:left w:val="single" w:color="000000" w:sz="4"/>
              <w:bottom w:val="single" w:color="000000" w:sz="4"/>
              <w:right w:val="single" w:color="000000" w:sz="4"/>
            </w:tcBorders>
          </w:tcPr>
          <w:p/>
        </w:tc>
        <w:tc>
          <w:tcPr>
            <w:tcW w:type="dxa" w:w="1127"/>
            <w:vMerge/>
            <w:tcBorders>
              <w:top w:val="none" w:color="000000" w:sz="4"/>
              <w:left w:val="single" w:color="000000" w:sz="4"/>
              <w:bottom w:val="single" w:color="000000" w:sz="4"/>
              <w:right w:val="single" w:color="000000" w:sz="4"/>
            </w:tcBorders>
          </w:tcPr>
          <w:p/>
        </w:tc>
        <w:tc>
          <w:tcPr>
            <w:tcW w:type="dxa" w:w="1394"/>
            <w:vMerge/>
            <w:tcBorders>
              <w:top w:val="none" w:color="000000" w:sz="4"/>
              <w:left w:val="single" w:color="000000" w:sz="4"/>
              <w:bottom w:val="single" w:color="000000" w:sz="4"/>
              <w:right w:val="single" w:color="000000" w:sz="4"/>
            </w:tcBorders>
          </w:tcPr>
          <w:p/>
        </w:tc>
      </w:tr>
      <w:tr>
        <w:tc>
          <w:tcPr>
            <w:tcW w:type="dxa" w:w="860"/>
            <w:vMerge/>
            <w:tcBorders>
              <w:top w:val="none" w:color="000000" w:sz="4"/>
              <w:left w:val="single" w:color="000000" w:sz="4"/>
              <w:bottom w:val="single" w:color="000000" w:sz="4"/>
              <w:right w:val="single" w:color="000000" w:sz="4"/>
            </w:tcBorders>
          </w:tcPr>
          <w:p/>
        </w:tc>
        <w:tc>
          <w:tcPr>
            <w:tcW w:type="dxa" w:w="60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11</w:t>
            </w:r>
          </w:p>
        </w:tc>
        <w:tc>
          <w:tcPr>
            <w:tcW w:type="dxa" w:w="202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蜂产品</w:t>
            </w:r>
          </w:p>
        </w:tc>
        <w:tc>
          <w:tcPr>
            <w:tcW w:type="dxa" w:w="13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4</w:t>
            </w:r>
          </w:p>
        </w:tc>
        <w:tc>
          <w:tcPr>
            <w:tcW w:type="dxa" w:w="909"/>
            <w:vMerge/>
            <w:tcBorders>
              <w:top w:val="none" w:color="000000" w:sz="4"/>
              <w:left w:val="single" w:color="000000" w:sz="4"/>
              <w:bottom w:val="single" w:color="000000" w:sz="4"/>
              <w:right w:val="single" w:color="000000" w:sz="4"/>
            </w:tcBorders>
          </w:tcPr>
          <w:p/>
        </w:tc>
        <w:tc>
          <w:tcPr>
            <w:tcW w:type="dxa" w:w="1127"/>
            <w:vMerge/>
            <w:tcBorders>
              <w:top w:val="none" w:color="000000" w:sz="4"/>
              <w:left w:val="single" w:color="000000" w:sz="4"/>
              <w:bottom w:val="single" w:color="000000" w:sz="4"/>
              <w:right w:val="single" w:color="000000" w:sz="4"/>
            </w:tcBorders>
          </w:tcPr>
          <w:p/>
        </w:tc>
        <w:tc>
          <w:tcPr>
            <w:tcW w:type="dxa" w:w="1394"/>
            <w:vMerge/>
            <w:tcBorders>
              <w:top w:val="none" w:color="000000" w:sz="4"/>
              <w:left w:val="single" w:color="000000" w:sz="4"/>
              <w:bottom w:val="single" w:color="000000" w:sz="4"/>
              <w:right w:val="single" w:color="000000" w:sz="4"/>
            </w:tcBorders>
          </w:tcPr>
          <w:p/>
        </w:tc>
      </w:tr>
      <w:tr>
        <w:tc>
          <w:tcPr>
            <w:tcW w:type="dxa" w:w="4823"/>
            <w:gridSpan w:val="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合计</w:t>
            </w:r>
          </w:p>
        </w:tc>
        <w:tc>
          <w:tcPr>
            <w:tcW w:type="dxa" w:w="90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不少于1760批</w:t>
            </w:r>
          </w:p>
        </w:tc>
        <w:tc>
          <w:tcPr>
            <w:tcW w:type="dxa" w:w="11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264.00</w:t>
            </w:r>
          </w:p>
        </w:tc>
        <w:tc>
          <w:tcPr>
            <w:tcW w:type="dxa" w:w="139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w:t>
            </w:r>
          </w:p>
        </w:tc>
      </w:tr>
    </w:tbl>
    <w:p>
      <w:pPr>
        <w:pStyle w:val="null3"/>
        <w:ind w:firstLine="480"/>
        <w:jc w:val="both"/>
      </w:pPr>
      <w:r>
        <w:rPr>
          <w:sz w:val="24"/>
        </w:rPr>
        <w:t>注：项目预算金额仅为采购人预算，不代表实际支付金额。省级转移地方任务检测项目按照《2025年广东省食品安全监督抽检计划》《国家食品安全监督抽检实施细则(2025年版)》和市级抽检要求执行。采购人将根据市场监管总局、省市场监管局部署，结合年度重点工作安排、风险监测、市场供应等因素与中标人具体商定和动态调整食品抽检内容。除上述承检类别，投标人还应根据采购人实际监管需要，配合开展全市范围内的应急、专项抽检任务和技术服务工作。</w:t>
      </w:r>
    </w:p>
    <w:p>
      <w:pPr>
        <w:pStyle w:val="null3"/>
        <w:jc w:val="both"/>
      </w:pPr>
      <w:r>
        <w:rPr>
          <w:sz w:val="24"/>
          <w:b/>
        </w:rPr>
        <w:t>（三）资格条件承诺函</w:t>
      </w:r>
    </w:p>
    <w:p>
      <w:pPr>
        <w:pStyle w:val="null3"/>
        <w:jc w:val="center"/>
      </w:pPr>
      <w:r>
        <w:rPr>
          <w:sz w:val="24"/>
          <w:b/>
        </w:rPr>
        <w:t>资格条件承诺函</w:t>
      </w:r>
    </w:p>
    <w:p>
      <w:pPr>
        <w:pStyle w:val="null3"/>
        <w:jc w:val="left"/>
      </w:pPr>
      <w:r>
        <w:rPr>
          <w:sz w:val="24"/>
        </w:rPr>
        <w:t>我方</w:t>
      </w:r>
      <w:r>
        <w:rPr>
          <w:sz w:val="24"/>
          <w:u w:val="single"/>
        </w:rPr>
        <w:t xml:space="preserve"> （供应商名称） </w:t>
      </w:r>
      <w:r>
        <w:rPr>
          <w:sz w:val="24"/>
        </w:rPr>
        <w:t>符合《中华人民共和国政府采购法》第二十二条第一款第（二）项、第（三）项、第（四）项、第（五）项规定条件，具体包括：</w:t>
      </w:r>
    </w:p>
    <w:p>
      <w:pPr>
        <w:pStyle w:val="null3"/>
        <w:jc w:val="left"/>
      </w:pPr>
      <w:r>
        <w:rPr>
          <w:sz w:val="24"/>
        </w:rPr>
        <w:t>1.具有良好的商业信誉和健全的财务会计制度；</w:t>
      </w:r>
    </w:p>
    <w:p>
      <w:pPr>
        <w:pStyle w:val="null3"/>
        <w:jc w:val="left"/>
      </w:pPr>
      <w:r>
        <w:rPr>
          <w:sz w:val="24"/>
        </w:rPr>
        <w:t>2.具有履行合同所必需的设备和专业技术能力；</w:t>
      </w:r>
    </w:p>
    <w:p>
      <w:pPr>
        <w:pStyle w:val="null3"/>
        <w:jc w:val="left"/>
      </w:pPr>
      <w:r>
        <w:rPr>
          <w:sz w:val="24"/>
        </w:rPr>
        <w:t>3.具有依法缴纳税收和社会保障资金的良好记录；</w:t>
      </w:r>
    </w:p>
    <w:p>
      <w:pPr>
        <w:pStyle w:val="null3"/>
        <w:jc w:val="left"/>
      </w:pPr>
      <w:r>
        <w:rPr>
          <w:sz w:val="24"/>
        </w:rPr>
        <w:t>4.参加政府采购活动前三年内，在经营活动中没有重大违法记录。</w:t>
      </w:r>
    </w:p>
    <w:p>
      <w:pPr>
        <w:pStyle w:val="null3"/>
        <w:jc w:val="left"/>
      </w:pPr>
      <w:r>
        <w:rPr>
          <w:sz w:val="24"/>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80"/>
      </w:pPr>
      <w:r>
        <w:rPr>
          <w:sz w:val="24"/>
        </w:rPr>
        <w:t>特此承诺。</w:t>
      </w:r>
    </w:p>
    <w:p>
      <w:pPr>
        <w:pStyle w:val="null3"/>
        <w:jc w:val="right"/>
      </w:pPr>
      <w:r>
        <w:rPr>
          <w:sz w:val="24"/>
        </w:rPr>
        <w:t>供应商名称（公章）</w:t>
      </w:r>
    </w:p>
    <w:p>
      <w:pPr>
        <w:pStyle w:val="null3"/>
        <w:ind w:firstLine="480"/>
        <w:jc w:val="right"/>
      </w:pPr>
      <w:r>
        <w:rPr>
          <w:sz w:val="24"/>
        </w:rPr>
        <w:t xml:space="preserve">                                                        年   月  日</w:t>
      </w:r>
    </w:p>
    <w:p>
      <w:pPr>
        <w:pStyle w:val="null3"/>
      </w:pPr>
      <w:r>
        <w:rPr/>
        <w:t>采购包1（食用农产品、餐饮环节食品抽检）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合同签订之日起至2025年12月31日。具体时间以所签订的合同约定时间为准。</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第1期为(预付款)：支付比例50%，采购人与中标人签订合同且收到发票后30日内，向中标人支付所承接采购包预算的50%作为预付款。</w:t>
            </w:r>
          </w:p>
          <w:p>
            <w:pPr>
              <w:pStyle w:val="null3"/>
            </w:pPr>
            <w:r>
              <w:rPr/>
              <w:t>第2期为(进度款)：支付比例40%，待项目任务完成50%后，且在收到中标人提供的发票后30日内，向中标人支付所承接采购包预算的40%进度款。</w:t>
            </w:r>
          </w:p>
          <w:p>
            <w:pPr>
              <w:pStyle w:val="null3"/>
            </w:pPr>
            <w:r>
              <w:rPr/>
              <w:t>第3期为(尾款)：支付比例10%，按照市财政资金使用管理规定有关年度资金支出时限要求，在收到中标人提供的发票及抽样明细等必要材料后30日内，采购人支付合同剩余款项。 注：中标人凭以下有效文件与采购人结算：（1）采购合同；（2）中标通知书；（3）中标人开具的正式发票；（4）完成抽检情况说明、食品抽检明细表。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食品检验由食品检验机构指定的检验人独立进行；检验人应当依照有关法律、法规的规定，并依照食品安全标准和检验规范对食品进行检验，保证出具的检验数据和结论客观、公正，不得出具虚假的检验报告。项目完成后，采购人按照单位采购管理制度，组织验收小组对各包组完成情况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项目报价及抽检项目的计价</w:t>
            </w:r>
          </w:p>
        </w:tc>
        <w:tc>
          <w:tcPr>
            <w:tcW w:type="dxa" w:w="2076"/>
          </w:tcPr>
          <w:p>
            <w:pPr>
              <w:pStyle w:val="null3"/>
              <w:jc w:val="left"/>
            </w:pPr>
            <w:r>
              <w:rPr/>
              <w:t>1.单项检验项目费用参考《市场监管部门食品安全抽检监测项目检验费用参考表》（市监食检（司）函[2022]133号）为检验项目最高限价；所检项目未在市监食检（司）函[2022]133号文中定价的，以《关于下发新的广东省产品质量监督检验收费标准的通知》(粤价[2002]170号)为检验项目最高限价；所检项目未在上述文件中的，以中标人报备物价局对外收费标准或向社会公开的收费标准为检验项目最高限价；以上规定不能确定计价的，由双方协商确定。 2.实际单项检验项目检验费=检验项目最高限价×中标折扣率。本项目不接受有选择性的投标报价，否则将按无效投标处理。报价折扣率必须为固定报价，不接受区间报价(如50%～55%)。如报价折扣率为55%，则实际结算金额=∑（食品检验项目费用参考金额最高限价×55%）。投标报价如为区间报价或超出报价范围将视为无效报价。 3.折扣后某批次检测费用（元）=折扣后该批次全部检测项目检验费用之和。食品检测费用，包含所有服务内容的费用，包括人工费、劳保费、保险费、材料费、检验费、车辆使用费、设备使用费、各种税务费、必须的辅助材料费及合同实施过程中不可预见费用等全部费用（另有约定的除外）。 4.食品样品购买费，依据《中华人民共和国食品安全法》向被抽样单位支付样品购买费，此样品购买费由采购人承担。采购人按照中标人在采样时支付给被抽样单位的样品费（不得高于市场价）据实报销。 5.食品抽检服务费结算价（人民币，元）=食品样品购买费与折扣后全部批次检测费用之和。本项目各包组预算包括但不限于购样费、检验费等完成本项目所需所有费用。完成各包组任务总结算金额不高于各包组预算，采购人不再另行支付其他费用。</w:t>
            </w:r>
          </w:p>
        </w:tc>
      </w:tr>
      <w:tr>
        <w:tc>
          <w:tcPr>
            <w:tcW w:type="dxa" w:w="2076"/>
          </w:tcPr>
          <w:p/>
        </w:tc>
        <w:tc>
          <w:tcPr>
            <w:tcW w:type="dxa" w:w="2076"/>
          </w:tcPr>
          <w:p>
            <w:pPr>
              <w:pStyle w:val="null3"/>
              <w:jc w:val="center"/>
            </w:pPr>
            <w:r>
              <w:rPr/>
              <w:t>2</w:t>
            </w:r>
          </w:p>
        </w:tc>
        <w:tc>
          <w:tcPr>
            <w:tcW w:type="dxa" w:w="2076"/>
          </w:tcPr>
          <w:p>
            <w:pPr>
              <w:pStyle w:val="null3"/>
              <w:jc w:val="left"/>
            </w:pPr>
            <w:r>
              <w:rPr/>
              <w:t>项目基本要求</w:t>
            </w:r>
          </w:p>
        </w:tc>
        <w:tc>
          <w:tcPr>
            <w:tcW w:type="dxa" w:w="2076"/>
          </w:tcPr>
          <w:p>
            <w:pPr>
              <w:pStyle w:val="null3"/>
              <w:jc w:val="left"/>
            </w:pPr>
            <w:r>
              <w:rPr/>
              <w:t>1.服务范围：为贯彻落实省民生实事食品抽检千人6.5批次任务，根据《中华人民共和国食品安全法》和省、市食品抽检部署，完成省转移韶关市食品抽检任务，韶关市市场监督管理局拟对2025年韶关市市级食品安全抽检服务项目进行公开招标。本包组选定1家食品检验机构作为采购人食品安全抽检任务的有效补充，进一步提升采购人食品安全抽检工作的技术支撑能力。各包组投标人应能使用“国家食品安全抽样检验信息系统”APP在线抽样并出具电子版检验报告。各包组投标人完成相应包组的承检任务，如在服务期内，采购人需下达紧急检验任务时，中标人应无条件配合采购人工作。 2.服务要求：根据采购人的工作需求，中标人可以派驻联络员到采购人处，集中开展抽检相关工作。 3.服务时间：根据采购人的工作要求及相关规范、标准，在规定时间内完成承检工作。 4.服务标准：一般要求自收到样品之日起20个工作日内出具检验报告，应急抽检应根据工作需要加快检验速度，如因特殊情况需延长检验期限的，可另行约定。</w:t>
            </w:r>
          </w:p>
        </w:tc>
      </w:tr>
      <w:tr>
        <w:tc>
          <w:tcPr>
            <w:tcW w:type="dxa" w:w="2076"/>
          </w:tcPr>
          <w:p/>
        </w:tc>
        <w:tc>
          <w:tcPr>
            <w:tcW w:type="dxa" w:w="2076"/>
          </w:tcPr>
          <w:p>
            <w:pPr>
              <w:pStyle w:val="null3"/>
              <w:jc w:val="center"/>
            </w:pPr>
            <w:r>
              <w:rPr/>
              <w:t>3</w:t>
            </w:r>
          </w:p>
        </w:tc>
        <w:tc>
          <w:tcPr>
            <w:tcW w:type="dxa" w:w="2076"/>
          </w:tcPr>
          <w:p>
            <w:pPr>
              <w:pStyle w:val="null3"/>
              <w:jc w:val="left"/>
            </w:pPr>
            <w:r>
              <w:rPr/>
              <w:t>违约责任</w:t>
            </w:r>
          </w:p>
        </w:tc>
        <w:tc>
          <w:tcPr>
            <w:tcW w:type="dxa" w:w="2076"/>
          </w:tcPr>
          <w:p>
            <w:pPr>
              <w:pStyle w:val="null3"/>
              <w:jc w:val="left"/>
            </w:pPr>
            <w:r>
              <w:rPr/>
              <w:t>1.由于中标人原因导致合同不能继续执行或者中标人单方面终止合同，中标人将采购人已经支付给中标人的合同款返还给采购人（返还的合同款扣除已经履行义务部分的费用），并承担对采购人的损失。 2.由于政策或采购人需求变化等原因，合同不能继续执行需终止合同的，采购人按照中标人已实际完成并经采购人审核确认的工作量向中标人支付服务费。 3.中标人提供的服务不符合合同约定或采购人要求的，中标人应在采购人规定的时间内予以整改，中标人整改仍不合格或拒不整改的，采购人有权解除合同，且视为是由于中标人原因导致的合同不能继续执行，中标人应按上述违约责任第1点承担违约责任。</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其他商务要求</w:t>
            </w:r>
          </w:p>
        </w:tc>
        <w:tc>
          <w:tcPr>
            <w:tcW w:type="dxa" w:w="2076"/>
          </w:tcPr>
          <w:p>
            <w:pPr>
              <w:pStyle w:val="null3"/>
              <w:jc w:val="left"/>
            </w:pPr>
            <w:r>
              <w:rPr/>
              <w:t>★1.中标人发生事业单位改革或者公司合并、分立等情况，不能以原机构名义履行合同的，拟继续履约的检验机构应及时以书面方式报告采购人、提供相关证明材料，经采购人审查并报有关部门同意后方可继续履约。（提供承诺函） ★2.如果在服务期内，如采购人下达应急、紧急检验任务时，出现需要应急抽检的项目，中标人必须无条件配合采购人的工作要求。（提供承诺函） ★3.未经采购人允许，中标人不得将检验任务分包，且不得将检验任务转包。特殊检验项目确需分包的，需提前向采购人提交书面申请，经采购人事先书面同意后才能分包，中标人须对分包内容的检测结果进行质量控制并就检测报告与分包人一起共同对采购人负责。（提供承诺函） ★4.中标人的检验任务必须由其投标文件中载明的实验室负责检验。投标人拥有多个实验室时，只可自主选择其中一个实验室(以CMA证书地址为准)参与评审，不得综合和累计多个实验室的人员、设备、资质等数据参与评审，亦不得使用非食品检验室的相关资料应标，否则视为无效投标。（提供承诺函） ★5.投标人必须如实提供投标所需证明材料，不得弄虚作假。（提供承诺函） ★6.投标人须以书面承诺函形式承诺：投标人在进行食品抽检时，应按照《中华人民共和国食品安全法》《食品安全抽样检验工作规范》《食用农产品抽样检验和核查处置规定》《国家食品安全监督抽检实施细则》等规定进行抽检工作，自觉接受采购人的监督检查和评议考核工作，不得向被抽检单位收取检验费或其他任何费用，并按《中华人民共和国食品安全法》支付抽取的样品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技术测试和分析服务</w:t>
            </w:r>
          </w:p>
        </w:tc>
        <w:tc>
          <w:tcPr>
            <w:tcW w:type="dxa" w:w="831"/>
          </w:tcPr>
          <w:p>
            <w:pPr>
              <w:pStyle w:val="null3"/>
              <w:jc w:val="left"/>
            </w:pPr>
            <w:r>
              <w:rPr/>
              <w:t>食用农产品、餐饮环节食品抽检</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910,000.00</w:t>
            </w:r>
          </w:p>
        </w:tc>
        <w:tc>
          <w:tcPr>
            <w:tcW w:type="dxa" w:w="831"/>
          </w:tcPr>
          <w:p>
            <w:pPr>
              <w:pStyle w:val="null3"/>
              <w:jc w:val="right"/>
            </w:pPr>
            <w:r>
              <w:rPr/>
              <w:t>910,000.00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食用农产品、餐饮环节食品抽检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left"/>
            </w:pPr>
            <w:r>
              <w:rPr>
                <w:sz w:val="24"/>
              </w:rPr>
              <w:t>★</w:t>
            </w:r>
            <w:r>
              <w:rPr>
                <w:sz w:val="24"/>
                <w:b/>
              </w:rPr>
              <w:t>（一）承检能力</w:t>
            </w:r>
          </w:p>
          <w:p>
            <w:pPr>
              <w:pStyle w:val="null3"/>
              <w:jc w:val="both"/>
            </w:pPr>
            <w:r>
              <w:rPr>
                <w:sz w:val="24"/>
              </w:rPr>
              <w:t>投标人或其实验室必须能够承检所投采购包承检的食品类别。【检验项目参照国家食品安全监督抽检实施细则</w:t>
            </w:r>
            <w:r>
              <w:rPr>
                <w:sz w:val="24"/>
              </w:rPr>
              <w:t>(202</w:t>
            </w:r>
            <w:r>
              <w:rPr>
                <w:sz w:val="24"/>
              </w:rPr>
              <w:t>4</w:t>
            </w:r>
            <w:r>
              <w:rPr>
                <w:sz w:val="24"/>
              </w:rPr>
              <w:t>年版</w:t>
            </w:r>
            <w:r>
              <w:rPr>
                <w:sz w:val="24"/>
              </w:rPr>
              <w:t>)，投标人应提供检验检测机构资质认定证书及完整附表（CMA）复印件并如实填写《检验类别响应表》（附件一），以上材料均需加盖投标人公章。不满足要求，视为无效投标。】。</w:t>
            </w:r>
          </w:p>
        </w:tc>
      </w:tr>
      <w:tr>
        <w:tc>
          <w:tcPr>
            <w:tcW w:type="dxa" w:w="2076"/>
          </w:tcPr>
          <w:p>
            <w:pPr>
              <w:pStyle w:val="null3"/>
            </w:pPr>
            <w:r>
              <w:rPr/>
              <w:t>★</w:t>
            </w:r>
          </w:p>
        </w:tc>
        <w:tc>
          <w:tcPr>
            <w:tcW w:type="dxa" w:w="415"/>
          </w:tcPr>
          <w:p>
            <w:pPr>
              <w:pStyle w:val="null3"/>
            </w:pPr>
            <w:r>
              <w:rPr/>
              <w:t>2</w:t>
            </w:r>
          </w:p>
        </w:tc>
        <w:tc>
          <w:tcPr>
            <w:tcW w:type="dxa" w:w="5814"/>
          </w:tcPr>
          <w:p>
            <w:pPr>
              <w:pStyle w:val="null3"/>
              <w:jc w:val="left"/>
            </w:pPr>
            <w:r>
              <w:rPr>
                <w:sz w:val="24"/>
              </w:rPr>
              <w:t>★</w:t>
            </w:r>
            <w:r>
              <w:rPr>
                <w:sz w:val="24"/>
                <w:b/>
              </w:rPr>
              <w:t>（二）抽检工作的实施</w:t>
            </w:r>
          </w:p>
          <w:p>
            <w:pPr>
              <w:pStyle w:val="null3"/>
              <w:jc w:val="both"/>
            </w:pPr>
            <w:r>
              <w:rPr>
                <w:sz w:val="24"/>
              </w:rPr>
              <w:t>投标人应能使用</w:t>
            </w:r>
            <w:r>
              <w:rPr>
                <w:sz w:val="24"/>
              </w:rPr>
              <w:t>“国家食品安全抽样检验信息系统”抽样APP在线抽样以及出具电子版检验报告。严格按照时限要求将抽样检验信息录入“国家食品安全抽样检验信息系统”。（提供承诺函）</w:t>
            </w:r>
          </w:p>
        </w:tc>
      </w:tr>
      <w:tr>
        <w:tc>
          <w:tcPr>
            <w:tcW w:type="dxa" w:w="2076"/>
          </w:tcPr>
          <w:p/>
        </w:tc>
        <w:tc>
          <w:tcPr>
            <w:tcW w:type="dxa" w:w="415"/>
          </w:tcPr>
          <w:p>
            <w:pPr>
              <w:pStyle w:val="null3"/>
            </w:pPr>
            <w:r>
              <w:rPr/>
              <w:t>3</w:t>
            </w:r>
          </w:p>
        </w:tc>
        <w:tc>
          <w:tcPr>
            <w:tcW w:type="dxa" w:w="5814"/>
          </w:tcPr>
          <w:p>
            <w:pPr>
              <w:pStyle w:val="null3"/>
              <w:jc w:val="left"/>
            </w:pPr>
            <w:r>
              <w:rPr>
                <w:sz w:val="24"/>
                <w:b/>
              </w:rPr>
              <w:t>（三）抽样工作的实施</w:t>
            </w:r>
          </w:p>
          <w:p>
            <w:pPr>
              <w:pStyle w:val="null3"/>
              <w:jc w:val="left"/>
            </w:pPr>
            <w:r>
              <w:rPr>
                <w:sz w:val="24"/>
              </w:rPr>
              <w:t>1.服务时间：自合同签订之日起至</w:t>
            </w:r>
            <w:r>
              <w:rPr>
                <w:sz w:val="24"/>
              </w:rPr>
              <w:t>2025年12月31日</w:t>
            </w:r>
            <w:r>
              <w:rPr>
                <w:sz w:val="24"/>
              </w:rPr>
              <w:t>，具体时间以所签订的合同约定时间为准。</w:t>
            </w:r>
          </w:p>
          <w:p>
            <w:pPr>
              <w:pStyle w:val="null3"/>
              <w:jc w:val="left"/>
            </w:pPr>
            <w:r>
              <w:rPr>
                <w:sz w:val="24"/>
              </w:rPr>
              <w:t>2.抽检对象：韶关市内的生产(小作坊)、餐饮、销售环节、农贸市场等食品生产经营单位。</w:t>
            </w:r>
          </w:p>
          <w:p>
            <w:pPr>
              <w:pStyle w:val="null3"/>
              <w:jc w:val="left"/>
            </w:pPr>
            <w:r>
              <w:rPr>
                <w:sz w:val="24"/>
              </w:rPr>
              <w:t>3.抽样单位：采购人依法委托中标人实施抽样。食品安全监督管理部门根据工作需要可以派员抽样或者监督</w:t>
            </w:r>
            <w:r>
              <w:rPr>
                <w:sz w:val="24"/>
              </w:rPr>
              <w:t>中标人</w:t>
            </w:r>
            <w:r>
              <w:rPr>
                <w:sz w:val="24"/>
              </w:rPr>
              <w:t>的抽样。</w:t>
            </w:r>
          </w:p>
          <w:p>
            <w:pPr>
              <w:pStyle w:val="null3"/>
              <w:jc w:val="left"/>
            </w:pPr>
            <w:r>
              <w:rPr>
                <w:sz w:val="24"/>
              </w:rPr>
              <w:t>4.抽检人员：</w:t>
            </w:r>
          </w:p>
          <w:p>
            <w:pPr>
              <w:pStyle w:val="null3"/>
              <w:jc w:val="left"/>
            </w:pPr>
            <w:r>
              <w:rPr>
                <w:sz w:val="24"/>
              </w:rPr>
              <w:t>（</w:t>
            </w:r>
            <w:r>
              <w:rPr>
                <w:sz w:val="24"/>
              </w:rPr>
              <w:t>1）中标人应有充足的抽样</w:t>
            </w:r>
            <w:r>
              <w:rPr>
                <w:sz w:val="24"/>
              </w:rPr>
              <w:t>、</w:t>
            </w:r>
            <w:r>
              <w:rPr>
                <w:sz w:val="24"/>
              </w:rPr>
              <w:t>检验人员</w:t>
            </w:r>
            <w:r>
              <w:rPr>
                <w:sz w:val="24"/>
              </w:rPr>
              <w:t>，</w:t>
            </w:r>
            <w:r>
              <w:rPr>
                <w:sz w:val="24"/>
              </w:rPr>
              <w:t>保障抽检进度</w:t>
            </w:r>
            <w:r>
              <w:rPr>
                <w:sz w:val="24"/>
              </w:rPr>
              <w:t>，</w:t>
            </w:r>
            <w:r>
              <w:rPr>
                <w:sz w:val="24"/>
              </w:rPr>
              <w:t>并具备履行合同所需专业技术能力，</w:t>
            </w:r>
            <w:r>
              <w:rPr>
                <w:sz w:val="24"/>
              </w:rPr>
              <w:t>以满足采购人日常抽检和案件稽查、事故调查、应急处置等抽检需求。</w:t>
            </w:r>
          </w:p>
          <w:p>
            <w:pPr>
              <w:pStyle w:val="null3"/>
              <w:jc w:val="left"/>
            </w:pPr>
            <w:r>
              <w:rPr>
                <w:sz w:val="24"/>
              </w:rPr>
              <w:t>（</w:t>
            </w:r>
            <w:r>
              <w:rPr>
                <w:sz w:val="24"/>
              </w:rPr>
              <w:t>2）抽样和检验要分离。即对某一食品的抽检，中标人派出的抽样人员与检验人员不得为同一人。</w:t>
            </w:r>
          </w:p>
          <w:p>
            <w:pPr>
              <w:pStyle w:val="null3"/>
              <w:jc w:val="left"/>
            </w:pPr>
            <w:r>
              <w:rPr>
                <w:sz w:val="24"/>
              </w:rPr>
              <w:t>5.交通工具：</w:t>
            </w:r>
            <w:r>
              <w:rPr>
                <w:sz w:val="24"/>
              </w:rPr>
              <w:t>中标人</w:t>
            </w:r>
            <w:r>
              <w:rPr>
                <w:sz w:val="24"/>
              </w:rPr>
              <w:t>负责。中标人负责每次检验样品的运送，并具有保存样品的能力，确保样品安全。</w:t>
            </w:r>
          </w:p>
          <w:p>
            <w:pPr>
              <w:pStyle w:val="null3"/>
              <w:jc w:val="left"/>
            </w:pPr>
            <w:r>
              <w:rPr>
                <w:sz w:val="24"/>
              </w:rPr>
              <w:t>6.抽检任务：</w:t>
            </w:r>
          </w:p>
          <w:p>
            <w:pPr>
              <w:pStyle w:val="null3"/>
              <w:jc w:val="left"/>
            </w:pPr>
            <w:r>
              <w:rPr>
                <w:sz w:val="24"/>
              </w:rPr>
              <w:t>（</w:t>
            </w:r>
            <w:r>
              <w:rPr>
                <w:sz w:val="24"/>
              </w:rPr>
              <w:t>1</w:t>
            </w:r>
            <w:r>
              <w:rPr>
                <w:sz w:val="24"/>
              </w:rPr>
              <w:t>）</w:t>
            </w:r>
            <w:r>
              <w:rPr>
                <w:sz w:val="24"/>
              </w:rPr>
              <w:t>承担项目服务期内各项抽检任务，抽检品种、抽检批次</w:t>
            </w:r>
            <w:r>
              <w:rPr>
                <w:sz w:val="24"/>
              </w:rPr>
              <w:t>，</w:t>
            </w:r>
            <w:r>
              <w:rPr>
                <w:sz w:val="24"/>
              </w:rPr>
              <w:t>“详见（二）项目采购内容清单”。</w:t>
            </w:r>
          </w:p>
          <w:p>
            <w:pPr>
              <w:pStyle w:val="null3"/>
              <w:jc w:val="left"/>
            </w:pPr>
            <w:r>
              <w:rPr>
                <w:sz w:val="24"/>
              </w:rPr>
              <w:t>（</w:t>
            </w:r>
            <w:r>
              <w:rPr>
                <w:sz w:val="24"/>
              </w:rPr>
              <w:t>2</w:t>
            </w:r>
            <w:r>
              <w:rPr>
                <w:sz w:val="24"/>
              </w:rPr>
              <w:t>）中标人应</w:t>
            </w:r>
            <w:r>
              <w:rPr>
                <w:sz w:val="24"/>
              </w:rPr>
              <w:t>按计划和方案</w:t>
            </w:r>
            <w:r>
              <w:rPr>
                <w:sz w:val="24"/>
              </w:rPr>
              <w:t>落实均衡抽检，合理安排月度、季度抽检任务，合理分配不同品种、不同区域、不同规模、不同环节、不同企业的抽检，提升抽检效能。</w:t>
            </w:r>
          </w:p>
          <w:p>
            <w:pPr>
              <w:pStyle w:val="null3"/>
              <w:jc w:val="left"/>
            </w:pPr>
            <w:r>
              <w:rPr>
                <w:sz w:val="24"/>
              </w:rPr>
              <w:t>7.抽检计划：由中标人协助采购人制定具体的项目实施计划</w:t>
            </w:r>
            <w:r>
              <w:rPr>
                <w:sz w:val="24"/>
              </w:rPr>
              <w:t>和方案</w:t>
            </w:r>
            <w:r>
              <w:rPr>
                <w:sz w:val="24"/>
              </w:rPr>
              <w:t>。</w:t>
            </w:r>
          </w:p>
          <w:p>
            <w:pPr>
              <w:pStyle w:val="null3"/>
              <w:jc w:val="left"/>
            </w:pPr>
            <w:r>
              <w:rPr>
                <w:sz w:val="24"/>
              </w:rPr>
              <w:t>8.抽样前准备工作、抽取样品、样品运输、抽样纪律等程序：采购人将根据《中华人民共和国食品安全法》《食品安全抽样检验管理办法》（市场监管总局令第15号）、《市场监管总局办公厅关于印发食品安全抽样检验工作规范的通知》等</w:t>
            </w:r>
            <w:r>
              <w:rPr>
                <w:sz w:val="24"/>
              </w:rPr>
              <w:t>政策法规</w:t>
            </w:r>
            <w:r>
              <w:rPr>
                <w:sz w:val="24"/>
              </w:rPr>
              <w:t>制定具体要求，供</w:t>
            </w:r>
            <w:r>
              <w:rPr>
                <w:sz w:val="24"/>
              </w:rPr>
              <w:t>中标人</w:t>
            </w:r>
            <w:r>
              <w:rPr>
                <w:sz w:val="24"/>
              </w:rPr>
              <w:t>执行。</w:t>
            </w:r>
          </w:p>
          <w:p>
            <w:pPr>
              <w:pStyle w:val="null3"/>
              <w:jc w:val="left"/>
            </w:pPr>
            <w:r>
              <w:rPr>
                <w:sz w:val="24"/>
              </w:rPr>
              <w:t>9.应急抽检要求：</w:t>
            </w:r>
            <w:r>
              <w:rPr>
                <w:sz w:val="24"/>
              </w:rPr>
              <w:t>中标人需在采购人</w:t>
            </w:r>
            <w:r>
              <w:rPr>
                <w:sz w:val="24"/>
              </w:rPr>
              <w:t>规定</w:t>
            </w:r>
            <w:r>
              <w:rPr>
                <w:sz w:val="24"/>
              </w:rPr>
              <w:t>的时间内开展应对食品检测突发事件并</w:t>
            </w:r>
            <w:r>
              <w:rPr>
                <w:sz w:val="24"/>
              </w:rPr>
              <w:t>委</w:t>
            </w:r>
            <w:r>
              <w:rPr>
                <w:sz w:val="24"/>
              </w:rPr>
              <w:t>派检验员提供应急检测服务，并按采购人的要求进行特殊情况抽检和专项抽检，包括突发事件应急抽检、夜间紧急抽检、突击抽检</w:t>
            </w:r>
            <w:r>
              <w:rPr>
                <w:sz w:val="24"/>
              </w:rPr>
              <w:t>、数据上报</w:t>
            </w:r>
            <w:r>
              <w:rPr>
                <w:sz w:val="24"/>
              </w:rPr>
              <w:t>等相关服务内容。</w:t>
            </w:r>
          </w:p>
          <w:p>
            <w:pPr>
              <w:pStyle w:val="null3"/>
              <w:jc w:val="left"/>
            </w:pPr>
            <w:r>
              <w:rPr>
                <w:sz w:val="24"/>
              </w:rPr>
              <w:t>10</w:t>
            </w:r>
            <w:r>
              <w:rPr>
                <w:sz w:val="24"/>
              </w:rPr>
              <w:t>.样品购买、保存和处理：</w:t>
            </w:r>
          </w:p>
          <w:p>
            <w:pPr>
              <w:pStyle w:val="null3"/>
              <w:jc w:val="left"/>
            </w:pPr>
            <w:r>
              <w:rPr>
                <w:sz w:val="24"/>
              </w:rPr>
              <w:t>（</w:t>
            </w:r>
            <w:r>
              <w:rPr>
                <w:sz w:val="24"/>
              </w:rPr>
              <w:t>1）监督抽检的样品应一式两份，分为检验样品和复检备份样品，由中标人支付购样费。</w:t>
            </w:r>
          </w:p>
          <w:p>
            <w:pPr>
              <w:pStyle w:val="null3"/>
              <w:jc w:val="both"/>
            </w:pPr>
            <w:r>
              <w:rPr>
                <w:sz w:val="24"/>
              </w:rPr>
              <w:t>（</w:t>
            </w:r>
            <w:r>
              <w:rPr>
                <w:sz w:val="24"/>
              </w:rPr>
              <w:t>2）中标人依照法律法规要求对样品进行保存。对于保存期满的复检备份样品，由中标人采用合法合理方式进行处理，处理</w:t>
            </w:r>
            <w:r>
              <w:rPr>
                <w:sz w:val="24"/>
              </w:rPr>
              <w:t>情况</w:t>
            </w:r>
            <w:r>
              <w:rPr>
                <w:sz w:val="24"/>
              </w:rPr>
              <w:t>报告采购人，并接受采购人监督。</w:t>
            </w:r>
          </w:p>
        </w:tc>
      </w:tr>
      <w:tr>
        <w:tc>
          <w:tcPr>
            <w:tcW w:type="dxa" w:w="2076"/>
          </w:tcPr>
          <w:p/>
        </w:tc>
        <w:tc>
          <w:tcPr>
            <w:tcW w:type="dxa" w:w="415"/>
          </w:tcPr>
          <w:p>
            <w:pPr>
              <w:pStyle w:val="null3"/>
            </w:pPr>
            <w:r>
              <w:rPr/>
              <w:t>4</w:t>
            </w:r>
          </w:p>
        </w:tc>
        <w:tc>
          <w:tcPr>
            <w:tcW w:type="dxa" w:w="5814"/>
          </w:tcPr>
          <w:p>
            <w:pPr>
              <w:pStyle w:val="null3"/>
              <w:jc w:val="left"/>
            </w:pPr>
            <w:r>
              <w:rPr>
                <w:sz w:val="24"/>
                <w:b/>
              </w:rPr>
              <w:t>（四）检验工作的要求</w:t>
            </w:r>
          </w:p>
          <w:p>
            <w:pPr>
              <w:pStyle w:val="null3"/>
              <w:jc w:val="left"/>
            </w:pPr>
            <w:r>
              <w:rPr>
                <w:sz w:val="24"/>
              </w:rPr>
              <w:t>1.根据采购人的工作需求，中标人应派驻相关专业人员到采购人处，集中开展抽检相关工作。</w:t>
            </w:r>
          </w:p>
          <w:p>
            <w:pPr>
              <w:pStyle w:val="null3"/>
              <w:jc w:val="left"/>
            </w:pPr>
            <w:r>
              <w:rPr>
                <w:sz w:val="24"/>
              </w:rPr>
              <w:t>2</w:t>
            </w:r>
            <w:r>
              <w:rPr>
                <w:sz w:val="24"/>
              </w:rPr>
              <w:t>.食品检验由食品检验机构指定的检验人独立进行。检验人应当依照有关法律、法规的规定，并依照食品安全标准和检验规范对食品进行检验，尊重科学，恪守职业道德，保证出具的检验数据和结论客观、公正，不得出具虚假的检验报告。</w:t>
            </w:r>
          </w:p>
          <w:p>
            <w:pPr>
              <w:pStyle w:val="null3"/>
              <w:jc w:val="left"/>
            </w:pPr>
            <w:r>
              <w:rPr>
                <w:sz w:val="24"/>
              </w:rPr>
              <w:t>3</w:t>
            </w:r>
            <w:r>
              <w:rPr>
                <w:sz w:val="24"/>
              </w:rPr>
              <w:t>.检验时间：一般要求自收到样品之日起20个工作日内出具检验报告，如因特殊情况需延长检验期限的，可另行约定。应节应急抽检、执法抽检等有特殊时限要求的，根据采购人要求加快检验。</w:t>
            </w:r>
          </w:p>
          <w:p>
            <w:pPr>
              <w:pStyle w:val="null3"/>
              <w:jc w:val="left"/>
            </w:pPr>
            <w:r>
              <w:rPr>
                <w:sz w:val="24"/>
              </w:rPr>
              <w:t>4.中标人的检验实验室环境洁净度、设施设备应当符合国家实验室有关管理规定的要求，以保证食品检测中菌落总数、大肠菌群、霉菌等微生物项目的准确度，并具备与项目需求相匹配的检验能力，具有支撑检验任务的检验人员及仪器设备，拥有运行良好的实验室管理体系，能提供清晰、全面的检测分析方案，确保检验结果的准确可靠。</w:t>
            </w:r>
          </w:p>
          <w:p>
            <w:pPr>
              <w:pStyle w:val="null3"/>
              <w:jc w:val="left"/>
            </w:pPr>
            <w:r>
              <w:rPr>
                <w:sz w:val="24"/>
              </w:rPr>
              <w:t>5.检验依据：依照检测样品的国家标准。无国家标准的，可依照地方标准、行业标准，产品明示标准和质量要求，相关的法律法规、部门规章和规定等执行。</w:t>
            </w:r>
          </w:p>
          <w:p>
            <w:pPr>
              <w:pStyle w:val="null3"/>
              <w:jc w:val="left"/>
            </w:pPr>
            <w:r>
              <w:rPr>
                <w:sz w:val="24"/>
              </w:rPr>
              <w:t>6</w:t>
            </w:r>
            <w:r>
              <w:rPr>
                <w:sz w:val="24"/>
              </w:rPr>
              <w:t>.</w:t>
            </w:r>
            <w:r>
              <w:rPr>
                <w:sz w:val="24"/>
              </w:rPr>
              <w:t>围绕监管急需、执法急用、</w:t>
            </w:r>
            <w:r>
              <w:rPr>
                <w:sz w:val="24"/>
              </w:rPr>
              <w:t>基层</w:t>
            </w:r>
            <w:r>
              <w:rPr>
                <w:sz w:val="24"/>
              </w:rPr>
              <w:t>实需，</w:t>
            </w:r>
            <w:r>
              <w:rPr>
                <w:sz w:val="24"/>
              </w:rPr>
              <w:t>中标人应了解行业发展动态，熟悉食品生产工艺</w:t>
            </w:r>
            <w:r>
              <w:rPr>
                <w:sz w:val="24"/>
              </w:rPr>
              <w:t>、</w:t>
            </w:r>
            <w:r>
              <w:rPr>
                <w:sz w:val="24"/>
              </w:rPr>
              <w:t>食品标准等</w:t>
            </w:r>
            <w:r>
              <w:rPr>
                <w:sz w:val="24"/>
              </w:rPr>
              <w:t>，具有</w:t>
            </w:r>
            <w:r>
              <w:rPr>
                <w:sz w:val="24"/>
              </w:rPr>
              <w:t>一定的</w:t>
            </w:r>
            <w:r>
              <w:rPr>
                <w:sz w:val="24"/>
              </w:rPr>
              <w:t>食品检验方法</w:t>
            </w:r>
            <w:r>
              <w:rPr>
                <w:sz w:val="24"/>
              </w:rPr>
              <w:t>、</w:t>
            </w:r>
            <w:r>
              <w:rPr>
                <w:sz w:val="24"/>
              </w:rPr>
              <w:t>标准和技术</w:t>
            </w:r>
            <w:r>
              <w:rPr>
                <w:sz w:val="24"/>
              </w:rPr>
              <w:t>研发能力，对目前暂未有判定依据的项目</w:t>
            </w:r>
            <w:r>
              <w:rPr>
                <w:sz w:val="24"/>
              </w:rPr>
              <w:t>可</w:t>
            </w:r>
            <w:r>
              <w:rPr>
                <w:sz w:val="24"/>
              </w:rPr>
              <w:t>出具检测数值、检测方法介绍、结果分析和处理建议</w:t>
            </w:r>
            <w:r>
              <w:rPr>
                <w:sz w:val="24"/>
              </w:rPr>
              <w:t>，为应对食品突发事件和有效排查食品非法添加问题提供技术支持。</w:t>
            </w:r>
          </w:p>
          <w:p>
            <w:pPr>
              <w:pStyle w:val="null3"/>
              <w:jc w:val="left"/>
            </w:pPr>
            <w:r>
              <w:rPr>
                <w:sz w:val="24"/>
              </w:rPr>
              <w:t>7</w:t>
            </w:r>
            <w:r>
              <w:rPr>
                <w:sz w:val="24"/>
              </w:rPr>
              <w:t>.中标人应当专业操守、尽职尽责，根据</w:t>
            </w:r>
            <w:r>
              <w:rPr>
                <w:sz w:val="24"/>
              </w:rPr>
              <w:t>食品</w:t>
            </w:r>
            <w:r>
              <w:rPr>
                <w:sz w:val="24"/>
              </w:rPr>
              <w:t>相关标准进行样品的抽样、检验及判定工作，并且按当次抽检方案约定日期出具检验报告。抽检监测任务完成后，中标人应对所有抽检产品检验结果进行统计和分析，</w:t>
            </w:r>
            <w:r>
              <w:rPr>
                <w:sz w:val="24"/>
              </w:rPr>
              <w:t>提出</w:t>
            </w:r>
            <w:r>
              <w:rPr>
                <w:sz w:val="24"/>
              </w:rPr>
              <w:t>监管建议。</w:t>
            </w:r>
          </w:p>
          <w:p>
            <w:pPr>
              <w:pStyle w:val="null3"/>
              <w:jc w:val="left"/>
            </w:pPr>
            <w:r>
              <w:rPr>
                <w:sz w:val="24"/>
              </w:rPr>
              <w:t>8</w:t>
            </w:r>
            <w:r>
              <w:rPr>
                <w:sz w:val="24"/>
              </w:rPr>
              <w:t>.中标人须对检验结果的真实性负责，由于虚假、错误检验数据和结论造成不良影响的，采购人有权终止合同，并由中标人承担相应法律责任。</w:t>
            </w:r>
          </w:p>
          <w:p>
            <w:pPr>
              <w:pStyle w:val="null3"/>
              <w:jc w:val="both"/>
            </w:pPr>
            <w:r>
              <w:rPr>
                <w:sz w:val="24"/>
              </w:rPr>
              <w:t>9</w:t>
            </w:r>
            <w:r>
              <w:rPr>
                <w:sz w:val="24"/>
              </w:rPr>
              <w:t>.中标人在开展抽检监测过程中弄虚作假或者不配合采购人开展工作的，采购人有权终止合同并追究中标人违约责任。</w:t>
            </w:r>
          </w:p>
        </w:tc>
      </w:tr>
      <w:tr>
        <w:tc>
          <w:tcPr>
            <w:tcW w:type="dxa" w:w="2076"/>
          </w:tcPr>
          <w:p/>
        </w:tc>
        <w:tc>
          <w:tcPr>
            <w:tcW w:type="dxa" w:w="415"/>
          </w:tcPr>
          <w:p>
            <w:pPr>
              <w:pStyle w:val="null3"/>
            </w:pPr>
            <w:r>
              <w:rPr/>
              <w:t>5</w:t>
            </w:r>
          </w:p>
        </w:tc>
        <w:tc>
          <w:tcPr>
            <w:tcW w:type="dxa" w:w="5814"/>
          </w:tcPr>
          <w:p>
            <w:pPr>
              <w:pStyle w:val="null3"/>
              <w:jc w:val="left"/>
            </w:pPr>
            <w:r>
              <w:rPr>
                <w:sz w:val="24"/>
                <w:b/>
              </w:rPr>
              <w:t>（五）检验结果的处理</w:t>
            </w:r>
          </w:p>
          <w:p>
            <w:pPr>
              <w:pStyle w:val="null3"/>
              <w:jc w:val="left"/>
            </w:pPr>
            <w:r>
              <w:rPr>
                <w:sz w:val="24"/>
              </w:rPr>
              <w:t>1.出具检验结论、提供检验报告及有关材料的送达、告知：采购人将根据《中华人民共和国食品安全法》《食品安全抽样检验管理办法》(市场监管总局令第15号)、《市场监管总局办公厅关于印发食品安全抽样检验工作规范的通知》等政策法规制定具体要求，供中标人执行。</w:t>
            </w:r>
          </w:p>
          <w:p>
            <w:pPr>
              <w:pStyle w:val="null3"/>
              <w:jc w:val="left"/>
            </w:pPr>
            <w:r>
              <w:rPr>
                <w:sz w:val="24"/>
              </w:rPr>
              <w:t>2.检验结果的评估：中标人应指派专人负责整理、分类、汇总抽检数据。中标人要对不合格项目进行原因及危害性分析评估，并出具分析评估报告，提出下一步检测意见和建议。发生食品安全突发事件时，中标人应配合做好分析评估工作，为采购人的决策提供技术依据。</w:t>
            </w:r>
          </w:p>
          <w:p>
            <w:pPr>
              <w:pStyle w:val="null3"/>
              <w:jc w:val="left"/>
            </w:pPr>
            <w:r>
              <w:rPr>
                <w:sz w:val="24"/>
              </w:rPr>
              <w:t>3.对被抽检单位异议的处理以及复检：</w:t>
            </w:r>
          </w:p>
          <w:p>
            <w:pPr>
              <w:pStyle w:val="null3"/>
              <w:jc w:val="left"/>
            </w:pPr>
            <w:r>
              <w:rPr>
                <w:sz w:val="24"/>
              </w:rPr>
              <w:t>（</w:t>
            </w:r>
            <w:r>
              <w:rPr>
                <w:sz w:val="24"/>
              </w:rPr>
              <w:t>1）协助采购人处理被抽检单位提出的异议申请。</w:t>
            </w:r>
          </w:p>
          <w:p>
            <w:pPr>
              <w:pStyle w:val="null3"/>
              <w:jc w:val="left"/>
            </w:pPr>
            <w:r>
              <w:rPr>
                <w:sz w:val="24"/>
              </w:rPr>
              <w:t>（</w:t>
            </w:r>
            <w:r>
              <w:rPr>
                <w:sz w:val="24"/>
              </w:rPr>
              <w:t>2）初检机构配合有关复检工作，复检机构依法开展复检工作。</w:t>
            </w:r>
          </w:p>
          <w:p>
            <w:pPr>
              <w:pStyle w:val="null3"/>
              <w:jc w:val="left"/>
            </w:pPr>
            <w:r>
              <w:rPr>
                <w:sz w:val="24"/>
              </w:rPr>
              <w:t>（</w:t>
            </w:r>
            <w:r>
              <w:rPr>
                <w:sz w:val="24"/>
              </w:rPr>
              <w:t>3）具备复检机构资格的中标人，在接到采购人指定的复检任务时，应予以受理。特殊情况不能接受的，复检中标人应说明理由并与采购人协商解决。复检机构由采购人指定。</w:t>
            </w:r>
          </w:p>
          <w:p>
            <w:pPr>
              <w:pStyle w:val="null3"/>
              <w:jc w:val="left"/>
            </w:pPr>
            <w:r>
              <w:rPr>
                <w:sz w:val="24"/>
              </w:rPr>
              <w:t>（</w:t>
            </w:r>
            <w:r>
              <w:rPr>
                <w:sz w:val="24"/>
              </w:rPr>
              <w:t>4）复检结论与初检结论不一致的，复检费用由初检机构承担；复检结论与初检结论一致的，复检费用由复检申请人承担。</w:t>
            </w:r>
          </w:p>
          <w:p>
            <w:pPr>
              <w:pStyle w:val="null3"/>
              <w:jc w:val="left"/>
            </w:pPr>
            <w:r>
              <w:rPr>
                <w:sz w:val="24"/>
              </w:rPr>
              <w:t>4.涉及抽检的全部情况包括数据及结果，中标人必须保密，不得向除采购人以外的任何单位与个人透露情况。</w:t>
            </w:r>
          </w:p>
          <w:p>
            <w:pPr>
              <w:pStyle w:val="null3"/>
              <w:jc w:val="both"/>
            </w:pPr>
            <w:r>
              <w:rPr>
                <w:sz w:val="24"/>
              </w:rPr>
              <w:t>5.为保证检验报告及有关公文的顺利送达，邮寄必须选择EMS或顺丰速运。邮寄所需费用由中标人支付。</w:t>
            </w:r>
          </w:p>
        </w:tc>
      </w:tr>
      <w:tr>
        <w:tc>
          <w:tcPr>
            <w:tcW w:type="dxa" w:w="2076"/>
          </w:tcPr>
          <w:p/>
        </w:tc>
        <w:tc>
          <w:tcPr>
            <w:tcW w:type="dxa" w:w="415"/>
          </w:tcPr>
          <w:p>
            <w:pPr>
              <w:pStyle w:val="null3"/>
            </w:pPr>
            <w:r>
              <w:rPr/>
              <w:t>6</w:t>
            </w:r>
          </w:p>
        </w:tc>
        <w:tc>
          <w:tcPr>
            <w:tcW w:type="dxa" w:w="5814"/>
          </w:tcPr>
          <w:p>
            <w:pPr>
              <w:pStyle w:val="null3"/>
              <w:jc w:val="left"/>
            </w:pPr>
            <w:r>
              <w:rPr>
                <w:sz w:val="24"/>
                <w:b/>
              </w:rPr>
              <w:t>（</w:t>
            </w:r>
            <w:r>
              <w:rPr>
                <w:sz w:val="24"/>
                <w:b/>
              </w:rPr>
              <w:t>六</w:t>
            </w:r>
            <w:r>
              <w:rPr>
                <w:sz w:val="24"/>
                <w:b/>
              </w:rPr>
              <w:t>）日常技术服务</w:t>
            </w:r>
          </w:p>
          <w:p>
            <w:pPr>
              <w:pStyle w:val="null3"/>
              <w:jc w:val="left"/>
            </w:pPr>
            <w:r>
              <w:rPr>
                <w:sz w:val="24"/>
              </w:rPr>
              <w:t>中标人根据采购人的工作需求，提供以下技术服务：</w:t>
            </w:r>
          </w:p>
          <w:p>
            <w:pPr>
              <w:pStyle w:val="null3"/>
              <w:jc w:val="left"/>
            </w:pPr>
            <w:r>
              <w:rPr>
                <w:sz w:val="24"/>
              </w:rPr>
              <w:t>1.</w:t>
            </w:r>
            <w:r>
              <w:rPr>
                <w:sz w:val="24"/>
              </w:rPr>
              <w:t>组织专家</w:t>
            </w:r>
            <w:r>
              <w:rPr>
                <w:sz w:val="24"/>
              </w:rPr>
              <w:t>对抽检数据进行分析，协助</w:t>
            </w:r>
            <w:r>
              <w:rPr>
                <w:sz w:val="24"/>
              </w:rPr>
              <w:t>组织</w:t>
            </w:r>
            <w:r>
              <w:rPr>
                <w:sz w:val="24"/>
              </w:rPr>
              <w:t>编撰分析报告</w:t>
            </w:r>
            <w:r>
              <w:rPr>
                <w:sz w:val="24"/>
              </w:rPr>
              <w:t>，</w:t>
            </w:r>
            <w:r>
              <w:rPr>
                <w:sz w:val="24"/>
              </w:rPr>
              <w:t>提出监管建议。</w:t>
            </w:r>
          </w:p>
          <w:p>
            <w:pPr>
              <w:pStyle w:val="null3"/>
              <w:jc w:val="left"/>
            </w:pPr>
            <w:r>
              <w:rPr>
                <w:sz w:val="24"/>
              </w:rPr>
              <w:t>2</w:t>
            </w:r>
            <w:r>
              <w:rPr>
                <w:sz w:val="24"/>
              </w:rPr>
              <w:t>.</w:t>
            </w:r>
            <w:r>
              <w:rPr>
                <w:sz w:val="24"/>
              </w:rPr>
              <w:t>提升前沿检测分析，</w:t>
            </w:r>
            <w:r>
              <w:rPr>
                <w:sz w:val="24"/>
              </w:rPr>
              <w:t>安排专家接受风险交流、</w:t>
            </w:r>
            <w:r>
              <w:rPr>
                <w:sz w:val="24"/>
              </w:rPr>
              <w:t>科研</w:t>
            </w:r>
            <w:r>
              <w:rPr>
                <w:sz w:val="24"/>
              </w:rPr>
              <w:t>研讨、课题研究，参与补充检验方法的制订、验证或使用</w:t>
            </w:r>
            <w:r>
              <w:rPr>
                <w:sz w:val="24"/>
              </w:rPr>
              <w:t>，为应对突发事件和有效排查非法添加问题提供技术支持。</w:t>
            </w:r>
          </w:p>
          <w:p>
            <w:pPr>
              <w:pStyle w:val="null3"/>
              <w:jc w:val="left"/>
            </w:pPr>
            <w:r>
              <w:rPr>
                <w:sz w:val="24"/>
              </w:rPr>
              <w:t>3.负责食品安全宣传活动中的咨询、检测</w:t>
            </w:r>
            <w:r>
              <w:rPr>
                <w:sz w:val="24"/>
              </w:rPr>
              <w:t>、宣讲等服务。</w:t>
            </w:r>
          </w:p>
          <w:p>
            <w:pPr>
              <w:pStyle w:val="null3"/>
              <w:jc w:val="left"/>
            </w:pPr>
            <w:r>
              <w:rPr>
                <w:sz w:val="24"/>
              </w:rPr>
              <w:t>4.</w:t>
            </w:r>
            <w:r>
              <w:rPr>
                <w:sz w:val="24"/>
              </w:rPr>
              <w:t>抽检系统、</w:t>
            </w:r>
            <w:r>
              <w:rPr>
                <w:sz w:val="24"/>
              </w:rPr>
              <w:t>新闻发布、</w:t>
            </w:r>
            <w:r>
              <w:rPr>
                <w:sz w:val="24"/>
              </w:rPr>
              <w:t>危机应对</w:t>
            </w:r>
            <w:r>
              <w:rPr>
                <w:sz w:val="24"/>
              </w:rPr>
              <w:t>、技能竞赛等技术支持。</w:t>
            </w:r>
            <w:r>
              <w:rPr>
                <w:sz w:val="24"/>
              </w:rPr>
              <w:t xml:space="preserve">                                  </w:t>
            </w:r>
          </w:p>
          <w:p>
            <w:pPr>
              <w:pStyle w:val="null3"/>
              <w:jc w:val="left"/>
            </w:pPr>
            <w:r>
              <w:rPr>
                <w:sz w:val="24"/>
              </w:rPr>
              <w:t>5.</w:t>
            </w:r>
            <w:r>
              <w:rPr>
                <w:sz w:val="24"/>
              </w:rPr>
              <w:t>组织开展</w:t>
            </w:r>
            <w:r>
              <w:rPr>
                <w:sz w:val="24"/>
              </w:rPr>
              <w:t>“你点我检”</w:t>
            </w:r>
            <w:r>
              <w:rPr>
                <w:sz w:val="24"/>
              </w:rPr>
              <w:t>“百姓点检日”线上线下活动</w:t>
            </w:r>
            <w:r>
              <w:rPr>
                <w:sz w:val="24"/>
              </w:rPr>
              <w:t>。</w:t>
            </w:r>
          </w:p>
          <w:p>
            <w:pPr>
              <w:pStyle w:val="null3"/>
              <w:jc w:val="left"/>
            </w:pPr>
            <w:r>
              <w:rPr>
                <w:sz w:val="24"/>
              </w:rPr>
              <w:t>6.接收</w:t>
            </w:r>
            <w:r>
              <w:rPr>
                <w:sz w:val="24"/>
              </w:rPr>
              <w:t>采购人</w:t>
            </w:r>
            <w:r>
              <w:rPr>
                <w:sz w:val="24"/>
              </w:rPr>
              <w:t>委托的应急</w:t>
            </w:r>
            <w:r>
              <w:rPr>
                <w:sz w:val="24"/>
              </w:rPr>
              <w:t>应节</w:t>
            </w:r>
            <w:r>
              <w:rPr>
                <w:sz w:val="24"/>
              </w:rPr>
              <w:t>抽检、复检等技术任务。</w:t>
            </w:r>
          </w:p>
          <w:p>
            <w:pPr>
              <w:pStyle w:val="null3"/>
              <w:jc w:val="both"/>
            </w:pPr>
            <w:r>
              <w:rPr>
                <w:sz w:val="24"/>
              </w:rPr>
              <w:t>7.其他根据工作提出的技术服务。</w:t>
            </w:r>
          </w:p>
        </w:tc>
      </w:tr>
      <w:tr>
        <w:tc>
          <w:tcPr>
            <w:tcW w:type="dxa" w:w="2076"/>
          </w:tcPr>
          <w:p/>
        </w:tc>
        <w:tc>
          <w:tcPr>
            <w:tcW w:type="dxa" w:w="415"/>
          </w:tcPr>
          <w:p>
            <w:pPr>
              <w:pStyle w:val="null3"/>
            </w:pPr>
            <w:r>
              <w:rPr/>
              <w:t>7</w:t>
            </w:r>
          </w:p>
        </w:tc>
        <w:tc>
          <w:tcPr>
            <w:tcW w:type="dxa" w:w="5814"/>
          </w:tcPr>
          <w:p>
            <w:pPr>
              <w:pStyle w:val="null3"/>
              <w:jc w:val="left"/>
            </w:pPr>
            <w:r>
              <w:rPr>
                <w:sz w:val="24"/>
                <w:b/>
              </w:rPr>
              <w:t>（</w:t>
            </w:r>
            <w:r>
              <w:rPr>
                <w:sz w:val="24"/>
                <w:b/>
              </w:rPr>
              <w:t>七</w:t>
            </w:r>
            <w:r>
              <w:rPr>
                <w:sz w:val="24"/>
                <w:b/>
              </w:rPr>
              <w:t>）其他</w:t>
            </w:r>
            <w:r>
              <w:rPr>
                <w:sz w:val="24"/>
                <w:b/>
              </w:rPr>
              <w:t>要求</w:t>
            </w:r>
          </w:p>
          <w:p>
            <w:pPr>
              <w:pStyle w:val="null3"/>
              <w:jc w:val="both"/>
            </w:pPr>
            <w:r>
              <w:rPr>
                <w:sz w:val="24"/>
              </w:rPr>
              <w:t>1.中标人应建立食品检验业务信息化系统，与采购人的食品抽样检验系统实现有效对接，并按照采购人要求按时将有关数据、材料导入或录入食品抽样检验系统</w:t>
            </w:r>
            <w:r>
              <w:rPr>
                <w:sz w:val="24"/>
              </w:rPr>
              <w:t>；</w:t>
            </w:r>
            <w:r>
              <w:rPr>
                <w:sz w:val="24"/>
              </w:rPr>
              <w:t>收集、整理、保存数据</w:t>
            </w:r>
            <w:r>
              <w:rPr>
                <w:sz w:val="24"/>
              </w:rPr>
              <w:t>，</w:t>
            </w:r>
            <w:r>
              <w:rPr>
                <w:sz w:val="24"/>
              </w:rPr>
              <w:t>随时备查。</w:t>
            </w:r>
          </w:p>
          <w:p>
            <w:pPr>
              <w:pStyle w:val="null3"/>
              <w:jc w:val="both"/>
            </w:pPr>
            <w:r>
              <w:rPr>
                <w:sz w:val="24"/>
              </w:rPr>
              <w:t>2</w:t>
            </w:r>
            <w:r>
              <w:rPr>
                <w:sz w:val="24"/>
              </w:rPr>
              <w:t>.根据工作需要和财政实际下达资金的情况，采购人对各中标人的承检任务及经费可以适当调整，中标人应当予以支持。</w:t>
            </w:r>
          </w:p>
          <w:p>
            <w:pPr>
              <w:pStyle w:val="null3"/>
              <w:jc w:val="both"/>
            </w:pPr>
            <w:r>
              <w:rPr>
                <w:sz w:val="24"/>
              </w:rPr>
              <w:t>3</w:t>
            </w:r>
            <w:r>
              <w:rPr>
                <w:sz w:val="24"/>
              </w:rPr>
              <w:t>.本项目需求中未作细化详尽的地方，采购人将在抽检开始前制定具体的要求，中标人应遵守执行；当政策法规发生调整或者工作形势发生变更，采购人可以调整有关抽检操作要求，中标人应按采购人要求实施。</w:t>
            </w:r>
          </w:p>
        </w:tc>
      </w:tr>
      <w:tr>
        <w:tc>
          <w:tcPr>
            <w:tcW w:type="dxa" w:w="2076"/>
          </w:tcPr>
          <w:p/>
        </w:tc>
        <w:tc>
          <w:tcPr>
            <w:tcW w:type="dxa" w:w="415"/>
          </w:tcPr>
          <w:p>
            <w:pPr>
              <w:pStyle w:val="null3"/>
            </w:pPr>
            <w:r>
              <w:rPr/>
              <w:t>8</w:t>
            </w:r>
          </w:p>
        </w:tc>
        <w:tc>
          <w:tcPr>
            <w:tcW w:type="dxa" w:w="5814"/>
          </w:tcPr>
          <w:p>
            <w:pPr>
              <w:pStyle w:val="null3"/>
              <w:jc w:val="left"/>
            </w:pPr>
            <w:r>
              <w:rPr>
                <w:sz w:val="24"/>
                <w:b/>
              </w:rPr>
              <w:t>附件一：</w:t>
            </w:r>
          </w:p>
          <w:p>
            <w:pPr>
              <w:pStyle w:val="null3"/>
              <w:jc w:val="center"/>
            </w:pPr>
            <w:r>
              <w:rPr>
                <w:sz w:val="28"/>
                <w:b/>
              </w:rPr>
              <w:t>检验类别响应表</w:t>
            </w:r>
          </w:p>
          <w:tbl>
            <w:tblPr>
              <w:tblBorders>
                <w:top w:val="none" w:color="000000" w:sz="4"/>
                <w:left w:val="none" w:color="000000" w:sz="4"/>
                <w:bottom w:val="none" w:color="000000" w:sz="4"/>
                <w:right w:val="none" w:color="000000" w:sz="4"/>
                <w:insideH w:val="none"/>
                <w:insideV w:val="none"/>
              </w:tblBorders>
            </w:tblPr>
            <w:tblGrid>
              <w:gridCol w:w="762"/>
              <w:gridCol w:w="2567"/>
              <w:gridCol w:w="2245"/>
            </w:tblGrid>
            <w:tr>
              <w:tc>
                <w:tcPr>
                  <w:tcW w:type="dxa" w:w="7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25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食品大类（一级）</w:t>
                  </w:r>
                </w:p>
              </w:tc>
              <w:tc>
                <w:tcPr>
                  <w:tcW w:type="dxa" w:w="22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响应情况（只允许填写</w:t>
                  </w:r>
                  <w:r>
                    <w:rPr>
                      <w:sz w:val="24"/>
                      <w:b/>
                    </w:rPr>
                    <w:t>:“承诺”或“不承诺”）</w:t>
                  </w: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粮食加工品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食用油、油脂及其制品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调味品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肉制品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乳制品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饮料</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方便食品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饼干</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罐头</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冷冻饮品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速冻食品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薯类和膨化食品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糖果制品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茶叶及相关制品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酒类</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蔬菜制品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水果制品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炒货食品及坚果制品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蛋制品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可可及焙烤咖啡食品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食糖</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水产制品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淀粉及淀粉制品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糕点</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豆制品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蜂产品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特殊膳食食品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餐饮食品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食品添加剂</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畜禽肉及副产品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蔬菜</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水产品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水果类</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鲜蛋</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豆类</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生干坚果与籽类食品和食用油</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bl>
          <w:p>
            <w:pPr>
              <w:pStyle w:val="null3"/>
              <w:jc w:val="both"/>
            </w:pPr>
            <w:r>
              <w:rPr>
                <w:sz w:val="24"/>
              </w:rPr>
              <w:t>注：</w:t>
            </w:r>
          </w:p>
          <w:p>
            <w:pPr>
              <w:pStyle w:val="null3"/>
              <w:jc w:val="both"/>
            </w:pPr>
            <w:r>
              <w:rPr>
                <w:sz w:val="24"/>
              </w:rPr>
              <w:t>1、中标人以投标文件提供的完整《资质认定证书及附表》和《检验类别响应表》作为承检能力的依据，若中标人与承诺的情况不符，采购人有权终止合同并追究其法律责任。</w:t>
            </w:r>
          </w:p>
          <w:p>
            <w:pPr>
              <w:pStyle w:val="null3"/>
              <w:jc w:val="both"/>
            </w:pPr>
            <w:r>
              <w:rPr>
                <w:sz w:val="24"/>
              </w:rPr>
              <w:t>2、投标人只允许填写:“承诺”或“不承诺”。如投标人填写不符合要求，填写的单项响应情况视为“不承诺”。</w:t>
            </w:r>
          </w:p>
          <w:p>
            <w:pPr>
              <w:pStyle w:val="null3"/>
              <w:jc w:val="both"/>
            </w:pPr>
            <w:r>
              <w:rPr>
                <w:sz w:val="24"/>
              </w:rPr>
              <w:t>投标人名称（</w:t>
            </w:r>
            <w:r>
              <w:rPr>
                <w:sz w:val="24"/>
              </w:rPr>
              <w:t>单位盖</w:t>
            </w:r>
            <w:r>
              <w:rPr>
                <w:sz w:val="24"/>
              </w:rPr>
              <w:t>公章）：</w:t>
            </w:r>
          </w:p>
          <w:p>
            <w:pPr>
              <w:pStyle w:val="null3"/>
              <w:jc w:val="both"/>
            </w:pPr>
            <w:r>
              <w:rPr>
                <w:sz w:val="24"/>
              </w:rPr>
              <w:t>日期：</w:t>
            </w:r>
          </w:p>
        </w:tc>
      </w:tr>
      <w:tr>
        <w:tc>
          <w:tcPr>
            <w:tcW w:type="dxa" w:w="2076"/>
          </w:tcPr>
          <w:p/>
        </w:tc>
        <w:tc>
          <w:tcPr>
            <w:tcW w:type="dxa" w:w="415"/>
          </w:tcPr>
          <w:p>
            <w:pPr>
              <w:pStyle w:val="null3"/>
            </w:pPr>
            <w:r>
              <w:rPr/>
              <w:t>9</w:t>
            </w:r>
          </w:p>
        </w:tc>
        <w:tc>
          <w:tcPr>
            <w:tcW w:type="dxa" w:w="5814"/>
          </w:tcPr>
          <w:p>
            <w:pPr>
              <w:pStyle w:val="null3"/>
              <w:jc w:val="left"/>
            </w:pPr>
            <w:r>
              <w:rPr>
                <w:sz w:val="24"/>
                <w:b/>
              </w:rPr>
              <w:t>附件二：</w:t>
            </w:r>
          </w:p>
          <w:p>
            <w:pPr>
              <w:pStyle w:val="null3"/>
              <w:jc w:val="center"/>
            </w:pPr>
            <w:r>
              <w:rPr>
                <w:sz w:val="30"/>
                <w:b/>
              </w:rPr>
              <w:t>检验项目响应表</w:t>
            </w:r>
          </w:p>
          <w:p>
            <w:pPr>
              <w:pStyle w:val="null3"/>
              <w:jc w:val="both"/>
            </w:pPr>
            <w:r>
              <w:rPr>
                <w:sz w:val="24"/>
              </w:rPr>
              <w:t>项目名称：</w:t>
            </w:r>
            <w:r>
              <w:rPr>
                <w:sz w:val="21"/>
                <w:u w:val="single"/>
              </w:rPr>
              <w:t xml:space="preserve">                   </w:t>
            </w:r>
          </w:p>
          <w:p>
            <w:pPr>
              <w:pStyle w:val="null3"/>
              <w:jc w:val="both"/>
            </w:pPr>
            <w:r>
              <w:rPr>
                <w:sz w:val="24"/>
              </w:rPr>
              <w:t>项目编号：</w:t>
            </w:r>
            <w:r>
              <w:rPr>
                <w:sz w:val="21"/>
                <w:u w:val="single"/>
              </w:rPr>
              <w:t xml:space="preserve">                   </w:t>
            </w:r>
          </w:p>
          <w:p>
            <w:pPr>
              <w:pStyle w:val="null3"/>
              <w:jc w:val="both"/>
            </w:pPr>
            <w:r>
              <w:rPr>
                <w:sz w:val="24"/>
              </w:rPr>
              <w:t>采购包</w:t>
            </w:r>
            <w:r>
              <w:rPr>
                <w:sz w:val="24"/>
              </w:rPr>
              <w:t>号：</w:t>
            </w:r>
            <w:r>
              <w:rPr>
                <w:sz w:val="21"/>
                <w:u w:val="single"/>
              </w:rPr>
              <w:t xml:space="preserve">                   </w:t>
            </w:r>
          </w:p>
          <w:p>
            <w:pPr>
              <w:pStyle w:val="null3"/>
            </w:pPr>
            <w:r>
              <w:rPr>
                <w:sz w:val="24"/>
              </w:rPr>
              <w:t>CMA</w:t>
            </w:r>
            <w:r>
              <w:rPr>
                <w:sz w:val="24"/>
              </w:rPr>
              <w:t>附表对《国家食品安全监督抽检实施细则》（</w:t>
            </w:r>
            <w:r>
              <w:rPr>
                <w:sz w:val="24"/>
              </w:rPr>
              <w:t>202</w:t>
            </w:r>
            <w:r>
              <w:rPr>
                <w:sz w:val="24"/>
              </w:rPr>
              <w:t>4</w:t>
            </w:r>
            <w:r>
              <w:rPr>
                <w:sz w:val="24"/>
              </w:rPr>
              <w:t>年版）覆盖</w:t>
            </w:r>
            <w:r>
              <w:rPr>
                <w:sz w:val="24"/>
              </w:rPr>
              <w:t>率为</w:t>
            </w:r>
            <w:r>
              <w:rPr>
                <w:sz w:val="24"/>
                <w:u w:val="single"/>
              </w:rPr>
              <w:t xml:space="preserve">     </w:t>
            </w:r>
            <w:r>
              <w:rPr>
                <w:sz w:val="24"/>
                <w:u w:val="single"/>
              </w:rPr>
              <w:t>%</w:t>
            </w:r>
          </w:p>
          <w:tbl>
            <w:tblPr>
              <w:tblInd w:type="dxa" w:w="120"/>
              <w:tblBorders>
                <w:top w:val="none" w:color="000000" w:sz="4"/>
                <w:left w:val="none" w:color="000000" w:sz="4"/>
                <w:bottom w:val="none" w:color="000000" w:sz="4"/>
                <w:right w:val="none" w:color="000000" w:sz="4"/>
                <w:insideH w:val="none"/>
                <w:insideV w:val="none"/>
              </w:tblBorders>
            </w:tblPr>
            <w:tblGrid>
              <w:gridCol w:w="650"/>
              <w:gridCol w:w="575"/>
              <w:gridCol w:w="671"/>
              <w:gridCol w:w="639"/>
              <w:gridCol w:w="597"/>
              <w:gridCol w:w="757"/>
              <w:gridCol w:w="405"/>
              <w:gridCol w:w="586"/>
              <w:gridCol w:w="661"/>
            </w:tblGrid>
            <w:tr>
              <w:tc>
                <w:tcPr>
                  <w:tcW w:type="dxa" w:w="5541"/>
                  <w:gridSpan w:val="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检验项目</w:t>
                  </w:r>
                  <w:r>
                    <w:rPr>
                      <w:sz w:val="24"/>
                      <w:b/>
                    </w:rPr>
                    <w:t>响应表</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75"/>
                    <w:jc w:val="center"/>
                  </w:pPr>
                  <w:r>
                    <w:rPr>
                      <w:sz w:val="24"/>
                      <w:b/>
                    </w:rPr>
                    <w:t>序号</w:t>
                  </w:r>
                </w:p>
              </w:tc>
              <w:tc>
                <w:tcPr>
                  <w:tcW w:type="dxa" w:w="5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食品大类（一级）</w:t>
                  </w:r>
                </w:p>
              </w:tc>
              <w:tc>
                <w:tcPr>
                  <w:tcW w:type="dxa" w:w="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食品亚类（二级）</w:t>
                  </w:r>
                </w:p>
              </w:tc>
              <w:tc>
                <w:tcPr>
                  <w:tcW w:type="dxa" w:w="6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食品品种（三级）</w:t>
                  </w:r>
                </w:p>
              </w:tc>
              <w:tc>
                <w:tcPr>
                  <w:tcW w:type="dxa" w:w="5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食品细类（一级）</w:t>
                  </w:r>
                </w:p>
              </w:tc>
              <w:tc>
                <w:tcPr>
                  <w:tcW w:type="dxa" w:w="7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检验项目</w:t>
                  </w:r>
                </w:p>
              </w:tc>
              <w:tc>
                <w:tcPr>
                  <w:tcW w:type="dxa" w:w="4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是否响应</w:t>
                  </w:r>
                </w:p>
              </w:tc>
              <w:tc>
                <w:tcPr>
                  <w:tcW w:type="dxa" w:w="5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CMA资质附表</w:t>
                  </w:r>
                  <w:r>
                    <w:rPr>
                      <w:sz w:val="24"/>
                      <w:b/>
                    </w:rPr>
                    <w:t>页码</w:t>
                  </w:r>
                </w:p>
              </w:tc>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CMA资质附表</w:t>
                  </w:r>
                  <w:r>
                    <w:rPr>
                      <w:sz w:val="24"/>
                      <w:b/>
                    </w:rPr>
                    <w:t>序号</w:t>
                  </w:r>
                </w:p>
              </w:tc>
            </w:tr>
            <w:tr>
              <w:tc>
                <w:tcPr>
                  <w:tcW w:type="dxa" w:w="6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75"/>
                    <w:jc w:val="center"/>
                  </w:pPr>
                  <w:r>
                    <w:rPr>
                      <w:sz w:val="24"/>
                    </w:rPr>
                    <w:t>1</w:t>
                  </w:r>
                </w:p>
              </w:tc>
              <w:tc>
                <w:tcPr>
                  <w:tcW w:type="dxa" w:w="5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粮食加工品</w:t>
                  </w:r>
                </w:p>
              </w:tc>
              <w:tc>
                <w:tcPr>
                  <w:tcW w:type="dxa" w:w="6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大米</w:t>
                  </w:r>
                </w:p>
              </w:tc>
              <w:tc>
                <w:tcPr>
                  <w:tcW w:type="dxa" w:w="6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大米</w:t>
                  </w:r>
                </w:p>
              </w:tc>
              <w:tc>
                <w:tcPr>
                  <w:tcW w:type="dxa" w:w="5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大米</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铅（以</w:t>
                  </w:r>
                  <w:r>
                    <w:rPr>
                      <w:sz w:val="24"/>
                    </w:rPr>
                    <w:t>Pb计</w:t>
                  </w:r>
                  <w:r>
                    <w:rPr>
                      <w:sz w:val="24"/>
                    </w:rPr>
                    <w:t>）</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50"/>
                  <w:vMerge/>
                  <w:tcBorders>
                    <w:top w:val="none" w:color="000000" w:sz="4"/>
                    <w:left w:val="single" w:color="000000" w:sz="4"/>
                    <w:bottom w:val="single" w:color="000000" w:sz="4"/>
                    <w:right w:val="single" w:color="000000" w:sz="4"/>
                  </w:tcBorders>
                </w:tcPr>
                <w:p/>
              </w:tc>
              <w:tc>
                <w:tcPr>
                  <w:tcW w:type="dxa" w:w="575"/>
                  <w:vMerge/>
                  <w:tcBorders>
                    <w:top w:val="none" w:color="000000" w:sz="4"/>
                    <w:left w:val="single" w:color="000000" w:sz="4"/>
                    <w:bottom w:val="single" w:color="000000" w:sz="4"/>
                    <w:right w:val="single" w:color="000000" w:sz="4"/>
                  </w:tcBorders>
                </w:tcPr>
                <w:p/>
              </w:tc>
              <w:tc>
                <w:tcPr>
                  <w:tcW w:type="dxa" w:w="671"/>
                  <w:vMerge/>
                  <w:tcBorders>
                    <w:top w:val="none" w:color="000000" w:sz="4"/>
                    <w:left w:val="single" w:color="000000" w:sz="4"/>
                    <w:bottom w:val="single" w:color="000000" w:sz="4"/>
                    <w:right w:val="single" w:color="000000" w:sz="4"/>
                  </w:tcBorders>
                </w:tcPr>
                <w:p/>
              </w:tc>
              <w:tc>
                <w:tcPr>
                  <w:tcW w:type="dxa" w:w="639"/>
                  <w:vMerge/>
                  <w:tcBorders>
                    <w:top w:val="none" w:color="000000" w:sz="4"/>
                    <w:left w:val="single" w:color="000000" w:sz="4"/>
                    <w:bottom w:val="single" w:color="000000" w:sz="4"/>
                    <w:right w:val="single" w:color="000000" w:sz="4"/>
                  </w:tcBorders>
                </w:tcPr>
                <w:p/>
              </w:tc>
              <w:tc>
                <w:tcPr>
                  <w:tcW w:type="dxa" w:w="597"/>
                  <w:vMerge/>
                  <w:tcBorders>
                    <w:top w:val="none" w:color="000000" w:sz="4"/>
                    <w:left w:val="single" w:color="000000" w:sz="4"/>
                    <w:bottom w:val="single" w:color="000000" w:sz="4"/>
                    <w:right w:val="single" w:color="000000" w:sz="4"/>
                  </w:tcBorders>
                </w:tcP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镉（以</w:t>
                  </w:r>
                  <w:r>
                    <w:rPr>
                      <w:sz w:val="24"/>
                    </w:rPr>
                    <w:t>Cd计</w:t>
                  </w:r>
                  <w:r>
                    <w:rPr>
                      <w:sz w:val="24"/>
                    </w:rPr>
                    <w:t>）</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50"/>
                  <w:vMerge/>
                  <w:tcBorders>
                    <w:top w:val="none" w:color="000000" w:sz="4"/>
                    <w:left w:val="single" w:color="000000" w:sz="4"/>
                    <w:bottom w:val="single" w:color="000000" w:sz="4"/>
                    <w:right w:val="single" w:color="000000" w:sz="4"/>
                  </w:tcBorders>
                </w:tcPr>
                <w:p/>
              </w:tc>
              <w:tc>
                <w:tcPr>
                  <w:tcW w:type="dxa" w:w="575"/>
                  <w:vMerge/>
                  <w:tcBorders>
                    <w:top w:val="none" w:color="000000" w:sz="4"/>
                    <w:left w:val="single" w:color="000000" w:sz="4"/>
                    <w:bottom w:val="single" w:color="000000" w:sz="4"/>
                    <w:right w:val="single" w:color="000000" w:sz="4"/>
                  </w:tcBorders>
                </w:tcPr>
                <w:p/>
              </w:tc>
              <w:tc>
                <w:tcPr>
                  <w:tcW w:type="dxa" w:w="671"/>
                  <w:vMerge/>
                  <w:tcBorders>
                    <w:top w:val="none" w:color="000000" w:sz="4"/>
                    <w:left w:val="single" w:color="000000" w:sz="4"/>
                    <w:bottom w:val="single" w:color="000000" w:sz="4"/>
                    <w:right w:val="single" w:color="000000" w:sz="4"/>
                  </w:tcBorders>
                </w:tcPr>
                <w:p/>
              </w:tc>
              <w:tc>
                <w:tcPr>
                  <w:tcW w:type="dxa" w:w="639"/>
                  <w:vMerge/>
                  <w:tcBorders>
                    <w:top w:val="none" w:color="000000" w:sz="4"/>
                    <w:left w:val="single" w:color="000000" w:sz="4"/>
                    <w:bottom w:val="single" w:color="000000" w:sz="4"/>
                    <w:right w:val="single" w:color="000000" w:sz="4"/>
                  </w:tcBorders>
                </w:tcPr>
                <w:p/>
              </w:tc>
              <w:tc>
                <w:tcPr>
                  <w:tcW w:type="dxa" w:w="597"/>
                  <w:vMerge/>
                  <w:tcBorders>
                    <w:top w:val="none" w:color="000000" w:sz="4"/>
                    <w:left w:val="single" w:color="000000" w:sz="4"/>
                    <w:bottom w:val="single" w:color="000000" w:sz="4"/>
                    <w:right w:val="single" w:color="000000" w:sz="4"/>
                  </w:tcBorders>
                </w:tcP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B1</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rPr>
              <w:t>《关于填写检验项目响应表的有关说明》：投标人填写《检验项目响应表》时，应说明每个检测项目所在</w:t>
            </w:r>
            <w:r>
              <w:rPr>
                <w:sz w:val="24"/>
                <w:b/>
              </w:rPr>
              <w:t>CMA</w:t>
            </w:r>
            <w:r>
              <w:rPr>
                <w:sz w:val="24"/>
                <w:b/>
              </w:rPr>
              <w:t>后附表中对应的页码和序号，不得仅指向认证的产品标准：</w:t>
            </w:r>
          </w:p>
          <w:p>
            <w:pPr>
              <w:pStyle w:val="null3"/>
              <w:jc w:val="both"/>
            </w:pPr>
            <w:r>
              <w:rPr>
                <w:sz w:val="24"/>
              </w:rPr>
              <w:t>投标人法定代表人（或法定代表人授权代表）签字：</w:t>
            </w:r>
            <w:r>
              <w:rPr>
                <w:sz w:val="21"/>
                <w:u w:val="single"/>
              </w:rPr>
              <w:t xml:space="preserve">                   </w:t>
            </w:r>
          </w:p>
          <w:p>
            <w:pPr>
              <w:pStyle w:val="null3"/>
              <w:ind w:left="210"/>
              <w:jc w:val="both"/>
            </w:pPr>
            <w:r>
              <w:rPr>
                <w:sz w:val="24"/>
              </w:rPr>
              <w:t>投标人名称（盖公章）：</w:t>
            </w:r>
            <w:r>
              <w:rPr>
                <w:sz w:val="21"/>
                <w:u w:val="single"/>
              </w:rPr>
              <w:t xml:space="preserve">                     </w:t>
            </w:r>
            <w:r>
              <w:rPr>
                <w:sz w:val="21"/>
              </w:rPr>
              <w:t xml:space="preserve">   </w:t>
            </w:r>
          </w:p>
          <w:p>
            <w:pPr>
              <w:pStyle w:val="null3"/>
              <w:jc w:val="both"/>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采购包2（食用农产品、流通环节食品抽检）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合同签订之日起至2025年12月31日。具体时间以所签订的合同约定时间为准。</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第1期为(预付款)：支付比例50%，采购人与中标人签订合同且收到发票后30日内，向中标人支付所承接采购包预算的50%作为预付款。</w:t>
            </w:r>
          </w:p>
          <w:p>
            <w:pPr>
              <w:pStyle w:val="null3"/>
            </w:pPr>
            <w:r>
              <w:rPr/>
              <w:t>第2期为(进度款)：支付比例40%，待项目任务完成50%后，且在收到中标人提供的发票后30日内，向中标人支付所承接采购包预算的40%进度款。</w:t>
            </w:r>
          </w:p>
          <w:p>
            <w:pPr>
              <w:pStyle w:val="null3"/>
            </w:pPr>
            <w:r>
              <w:rPr/>
              <w:t>第3期为(尾款)：支付比例10%，按照市财政资金使用管理规定有关年度资金支出时限要求，在收到中标人提供的发票及抽样明细等必要材料后30日内，采购人支付合同剩余款项。 注：中标人凭以下有效文件与采购人结算：（1）采购合同；（2）中标通知书；（3）中标人开具的正式发票；（4）完成抽检情况说明、食品抽检明细表。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食品检验由食品检验机构指定的检验人独立进行；检验人应当依照有关法律、法规的规定，并依照食品安全标准和检验规范对食品进行检验，保证出具的检验数据和结论客观、公正，不得出具虚假的检验报告。项目完成后，采购人按照单位采购管理制度，组织验收小组对各包组完成情况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项目报价及抽检项目的计价</w:t>
            </w:r>
          </w:p>
        </w:tc>
        <w:tc>
          <w:tcPr>
            <w:tcW w:type="dxa" w:w="2076"/>
          </w:tcPr>
          <w:p>
            <w:pPr>
              <w:pStyle w:val="null3"/>
              <w:jc w:val="left"/>
            </w:pPr>
            <w:r>
              <w:rPr/>
              <w:t>1.单项检验项目费用参考《市场监管部门食品安全抽检监测项目检验费用参考表》（市监食检（司）函[2022]133号）为检验项目最高限价；所检项目未在市监食检（司）函[2022]133号文中定价的，以《关于下发新的广东省产品质量监督检验收费标准的通知》(粤价[2002]170号)为检验项目最高限价；所检项目未在上述文件中的，以中标人报备物价局对外收费标准或向社会公开的收费标准为检验项目最高限价；以上规定不能确定计价的，由双方协商确定。 2.实际单项检验项目检验费=检验项目最高限价×中标折扣率。本项目不接受有选择性的投标报价，否则将按无效投标处理。报价折扣率必须为固定报价，不接受区间报价(如50%～55%)。如报价折扣率为55%，则实际结算金额=∑（食品检验项目费用参考金额最高限价×55%）。投标报价如为区间报价或超出报价范围将视为无效报价。 3.折扣后某批次检测费用（元）=折扣后该批次全部检测项目检验费用之和。食品检测费用，包含所有服务内容的费用，包括人工费、劳保费、保险费、材料费、检验费、车辆使用费、设备使用费、各种税务费、必须的辅助材料费及合同实施过程中不可预见费用等全部费用（另有约定的除外）。 4.食品样品购买费，依据《中华人民共和国食品安全法》向被抽样单位支付样品购买费，此样品购买费由采购人承担。采购人按照中标人在采样时支付给被抽样单位的样品费（不得高于市场价）据实报销。 5.食品抽检服务费结算价（人民币，元）=食品样品购买费与折扣后全部批次检测费用之和。本项目各包组预算包括但不限于购样费、检验费等完成本项目所需所有费用。完成各包组任务总结算金额不高于各包组预算，采购人不再另行支付其他费用。</w:t>
            </w:r>
          </w:p>
        </w:tc>
      </w:tr>
      <w:tr>
        <w:tc>
          <w:tcPr>
            <w:tcW w:type="dxa" w:w="2076"/>
          </w:tcPr>
          <w:p/>
        </w:tc>
        <w:tc>
          <w:tcPr>
            <w:tcW w:type="dxa" w:w="2076"/>
          </w:tcPr>
          <w:p>
            <w:pPr>
              <w:pStyle w:val="null3"/>
              <w:jc w:val="center"/>
            </w:pPr>
            <w:r>
              <w:rPr/>
              <w:t>2</w:t>
            </w:r>
          </w:p>
        </w:tc>
        <w:tc>
          <w:tcPr>
            <w:tcW w:type="dxa" w:w="2076"/>
          </w:tcPr>
          <w:p>
            <w:pPr>
              <w:pStyle w:val="null3"/>
              <w:jc w:val="left"/>
            </w:pPr>
            <w:r>
              <w:rPr/>
              <w:t>项目基本要求</w:t>
            </w:r>
          </w:p>
        </w:tc>
        <w:tc>
          <w:tcPr>
            <w:tcW w:type="dxa" w:w="2076"/>
          </w:tcPr>
          <w:p>
            <w:pPr>
              <w:pStyle w:val="null3"/>
              <w:jc w:val="left"/>
            </w:pPr>
            <w:r>
              <w:rPr/>
              <w:t>1.服务范围：为贯彻落实省民生实事食品抽检千人6.5批次任务，根据《中华人民共和国食品安全法》和省、市食品抽检部署，完成省转移韶关市食品抽检任务，韶关市市场监督管理局拟对2025年韶关市市级食品安全抽检服务项目进行公开招标。本包组选定1家食品检验机构作为采购人食品安全抽检任务的有效补充，进一步提升采购人食品安全抽检工作的技术支撑能力。各包组投标人应能使用“国家食品安全抽样检验信息系统”APP在线抽样并出具电子版检验报告。各包组投标人完成相应包组的承检任务，如在服务期内，采购人需下达紧急检验任务时，中标人应无条件配合采购人工作。 2.服务要求：根据采购人的工作需求，中标人可以派驻联络员到采购人处，集中开展抽检相关工作。 3.服务时间：根据采购人的工作要求及相关规范、标准，在规定时间内完成承检工作。 4.服务标准：一般要求自收到样品之日起20个工作日内出具检验报告，应急抽检应根据工作需要加快检验速度，如因特殊情况需延长检验期限的，可另行约定。</w:t>
            </w:r>
          </w:p>
        </w:tc>
      </w:tr>
      <w:tr>
        <w:tc>
          <w:tcPr>
            <w:tcW w:type="dxa" w:w="2076"/>
          </w:tcPr>
          <w:p/>
        </w:tc>
        <w:tc>
          <w:tcPr>
            <w:tcW w:type="dxa" w:w="2076"/>
          </w:tcPr>
          <w:p>
            <w:pPr>
              <w:pStyle w:val="null3"/>
              <w:jc w:val="center"/>
            </w:pPr>
            <w:r>
              <w:rPr/>
              <w:t>3</w:t>
            </w:r>
          </w:p>
        </w:tc>
        <w:tc>
          <w:tcPr>
            <w:tcW w:type="dxa" w:w="2076"/>
          </w:tcPr>
          <w:p>
            <w:pPr>
              <w:pStyle w:val="null3"/>
              <w:jc w:val="left"/>
            </w:pPr>
            <w:r>
              <w:rPr/>
              <w:t>违约责任</w:t>
            </w:r>
          </w:p>
        </w:tc>
        <w:tc>
          <w:tcPr>
            <w:tcW w:type="dxa" w:w="2076"/>
          </w:tcPr>
          <w:p>
            <w:pPr>
              <w:pStyle w:val="null3"/>
              <w:jc w:val="left"/>
            </w:pPr>
            <w:r>
              <w:rPr/>
              <w:t>1.由于中标人原因导致合同不能继续执行或者中标人单方面终止合同，中标人将采购人已经支付给中标人的合同款返还给采购人（返还的合同款扣除已经履行义务部分的费用），并承担对采购人的损失。 2.由于政策或采购人需求变化等原因，合同不能继续执行需终止合同的，采购人按照中标人已实际完成并经采购人审核确认的工作量向中标人支付服务费。 3.中标人提供的服务不符合合同约定或采购人要求的，中标人应在采购人规定的时间内予以整改，中标人整改仍不合格或拒不整改的，采购人有权解除合同，且视为是由于中标人原因导致的合同不能继续执行，中标人应按上述违约责任第1点承担违约责任。</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其他商务要求</w:t>
            </w:r>
          </w:p>
        </w:tc>
        <w:tc>
          <w:tcPr>
            <w:tcW w:type="dxa" w:w="2076"/>
          </w:tcPr>
          <w:p>
            <w:pPr>
              <w:pStyle w:val="null3"/>
              <w:jc w:val="left"/>
            </w:pPr>
            <w:r>
              <w:rPr/>
              <w:t>★1.中标人发生事业单位改革或者公司合并、分立等情况，不能以原机构名义履行合同的，拟继续履约的检验机构应及时以书面方式报告采购人、提供相关证明材料，经采购人审查并报有关部门同意后方可继续履约。（提供承诺函） ★2.如果在服务期内，如采购人下达应急、紧急检验任务时，出现需要应急抽检的项目，中标人必须无条件配合采购人的工作要求。（提供承诺函） ★3.未经采购人允许，中标人不得将检验任务分包，且不得将检验任务转包。特殊检验项目确需分包的，需提前向采购人提交书面申请，经采购人事先书面同意后才能分包，中标人须对分包内容的检测结果进行质量控制并就检测报告与分包人一起共同对采购人负责。（提供承诺函） ★4.中标人的检验任务必须由其投标文件中载明的实验室负责检验。投标人拥有多个实验室时，只可自主选择其中一个实验室(以CMA证书地址为准)参与评审，不得综合和累计多个实验室的人员、设备、资质等数据参与评审，亦不得使用非食品检验室的相关资料应标，否则视为无效投标。（提供承诺函） ★5.投标人必须如实提供投标所需证明材料，不得弄虚作假。（提供承诺函） ★6.投标人须以书面承诺函形式承诺：投标人在进行食品抽检时，应按照《中华人民共和国食品安全法》《食品安全抽样检验工作规范》《食用农产品抽样检验和核查处置规定》《国家食品安全监督抽检实施细则》等规定进行抽检工作，自觉接受采购人的监督检查和评议考核工作，不得向被抽检单位收取检验费或其他任何费用，并按《中华人民共和国食品安全法》支付抽取的样品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技术测试和分析服务</w:t>
            </w:r>
          </w:p>
        </w:tc>
        <w:tc>
          <w:tcPr>
            <w:tcW w:type="dxa" w:w="831"/>
          </w:tcPr>
          <w:p>
            <w:pPr>
              <w:pStyle w:val="null3"/>
              <w:jc w:val="left"/>
            </w:pPr>
            <w:r>
              <w:rPr/>
              <w:t>食用农产品、流通环节食品抽检</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890,000.00</w:t>
            </w:r>
          </w:p>
        </w:tc>
        <w:tc>
          <w:tcPr>
            <w:tcW w:type="dxa" w:w="831"/>
          </w:tcPr>
          <w:p>
            <w:pPr>
              <w:pStyle w:val="null3"/>
              <w:jc w:val="right"/>
            </w:pPr>
            <w:r>
              <w:rPr/>
              <w:t>890,000.00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食用农产品、流通环节食品抽检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left"/>
            </w:pPr>
            <w:r>
              <w:rPr>
                <w:sz w:val="24"/>
              </w:rPr>
              <w:t>★</w:t>
            </w:r>
            <w:r>
              <w:rPr>
                <w:sz w:val="24"/>
                <w:b/>
              </w:rPr>
              <w:t>（一）承检能力</w:t>
            </w:r>
          </w:p>
          <w:p>
            <w:pPr>
              <w:pStyle w:val="null3"/>
              <w:jc w:val="both"/>
            </w:pPr>
            <w:r>
              <w:rPr>
                <w:sz w:val="24"/>
              </w:rPr>
              <w:t>投标人或其实验室必须能够承检所投采购包承检的食品类别。【检验项目参照国家食品安全监督抽检实施细则</w:t>
            </w:r>
            <w:r>
              <w:rPr>
                <w:sz w:val="24"/>
              </w:rPr>
              <w:t>(202</w:t>
            </w:r>
            <w:r>
              <w:rPr>
                <w:sz w:val="24"/>
              </w:rPr>
              <w:t>4</w:t>
            </w:r>
            <w:r>
              <w:rPr>
                <w:sz w:val="24"/>
              </w:rPr>
              <w:t>年版</w:t>
            </w:r>
            <w:r>
              <w:rPr>
                <w:sz w:val="24"/>
              </w:rPr>
              <w:t>)，投标人应提供检验检测机构资质认定证书及完整附表（CMA）复印件并如实填写《检验类别响应表》（附件一），以上材料均需加盖投标人公章。不满足要求，视为无效投标。】。</w:t>
            </w:r>
          </w:p>
        </w:tc>
      </w:tr>
      <w:tr>
        <w:tc>
          <w:tcPr>
            <w:tcW w:type="dxa" w:w="2076"/>
          </w:tcPr>
          <w:p>
            <w:pPr>
              <w:pStyle w:val="null3"/>
            </w:pPr>
            <w:r>
              <w:rPr/>
              <w:t>★</w:t>
            </w:r>
          </w:p>
        </w:tc>
        <w:tc>
          <w:tcPr>
            <w:tcW w:type="dxa" w:w="415"/>
          </w:tcPr>
          <w:p>
            <w:pPr>
              <w:pStyle w:val="null3"/>
            </w:pPr>
            <w:r>
              <w:rPr/>
              <w:t>2</w:t>
            </w:r>
          </w:p>
        </w:tc>
        <w:tc>
          <w:tcPr>
            <w:tcW w:type="dxa" w:w="5814"/>
          </w:tcPr>
          <w:p>
            <w:pPr>
              <w:pStyle w:val="null3"/>
              <w:jc w:val="left"/>
            </w:pPr>
            <w:r>
              <w:rPr>
                <w:sz w:val="24"/>
              </w:rPr>
              <w:t>★</w:t>
            </w:r>
            <w:r>
              <w:rPr>
                <w:sz w:val="24"/>
                <w:b/>
              </w:rPr>
              <w:t>（二）抽检工作的实施</w:t>
            </w:r>
          </w:p>
          <w:p>
            <w:pPr>
              <w:pStyle w:val="null3"/>
              <w:jc w:val="both"/>
            </w:pPr>
            <w:r>
              <w:rPr>
                <w:sz w:val="24"/>
              </w:rPr>
              <w:t>投标人应能使用</w:t>
            </w:r>
            <w:r>
              <w:rPr>
                <w:sz w:val="24"/>
              </w:rPr>
              <w:t>“国家食品安全抽样检验信息系统”抽样APP在线抽样以及出具电子版检验报告。严格按照时限要求将抽样检验信息录入“国家食品安全抽样检验信息系统”。（提供承诺函）</w:t>
            </w:r>
          </w:p>
        </w:tc>
      </w:tr>
      <w:tr>
        <w:tc>
          <w:tcPr>
            <w:tcW w:type="dxa" w:w="2076"/>
          </w:tcPr>
          <w:p/>
        </w:tc>
        <w:tc>
          <w:tcPr>
            <w:tcW w:type="dxa" w:w="415"/>
          </w:tcPr>
          <w:p>
            <w:pPr>
              <w:pStyle w:val="null3"/>
            </w:pPr>
            <w:r>
              <w:rPr/>
              <w:t>3</w:t>
            </w:r>
          </w:p>
        </w:tc>
        <w:tc>
          <w:tcPr>
            <w:tcW w:type="dxa" w:w="5814"/>
          </w:tcPr>
          <w:p>
            <w:pPr>
              <w:pStyle w:val="null3"/>
              <w:jc w:val="left"/>
            </w:pPr>
            <w:r>
              <w:rPr>
                <w:sz w:val="24"/>
                <w:b/>
              </w:rPr>
              <w:t>（三）抽样工作的实施</w:t>
            </w:r>
          </w:p>
          <w:p>
            <w:pPr>
              <w:pStyle w:val="null3"/>
              <w:jc w:val="left"/>
            </w:pPr>
            <w:r>
              <w:rPr>
                <w:sz w:val="24"/>
              </w:rPr>
              <w:t>1.服务时间：自合同签订之日起至</w:t>
            </w:r>
            <w:r>
              <w:rPr>
                <w:sz w:val="24"/>
              </w:rPr>
              <w:t>2025年12月31日</w:t>
            </w:r>
            <w:r>
              <w:rPr>
                <w:sz w:val="24"/>
              </w:rPr>
              <w:t>，具体时间以所签订的合同约定时间为准。</w:t>
            </w:r>
          </w:p>
          <w:p>
            <w:pPr>
              <w:pStyle w:val="null3"/>
              <w:jc w:val="left"/>
            </w:pPr>
            <w:r>
              <w:rPr>
                <w:sz w:val="24"/>
              </w:rPr>
              <w:t>2.抽检对象：韶关市内的生产(小作坊)、餐饮、销售环节、农贸市场等食品生产经营单位。</w:t>
            </w:r>
          </w:p>
          <w:p>
            <w:pPr>
              <w:pStyle w:val="null3"/>
              <w:jc w:val="left"/>
            </w:pPr>
            <w:r>
              <w:rPr>
                <w:sz w:val="24"/>
              </w:rPr>
              <w:t>3.抽样单位：采购人依法委托中标人实施抽样。食品安全监督管理部门根据工作需要可以派员抽样或者监督</w:t>
            </w:r>
            <w:r>
              <w:rPr>
                <w:sz w:val="24"/>
              </w:rPr>
              <w:t>中标人</w:t>
            </w:r>
            <w:r>
              <w:rPr>
                <w:sz w:val="24"/>
              </w:rPr>
              <w:t>的抽样。</w:t>
            </w:r>
          </w:p>
          <w:p>
            <w:pPr>
              <w:pStyle w:val="null3"/>
              <w:jc w:val="left"/>
            </w:pPr>
            <w:r>
              <w:rPr>
                <w:sz w:val="24"/>
              </w:rPr>
              <w:t>4.抽检人员：</w:t>
            </w:r>
          </w:p>
          <w:p>
            <w:pPr>
              <w:pStyle w:val="null3"/>
              <w:jc w:val="left"/>
            </w:pPr>
            <w:r>
              <w:rPr>
                <w:sz w:val="24"/>
              </w:rPr>
              <w:t>（</w:t>
            </w:r>
            <w:r>
              <w:rPr>
                <w:sz w:val="24"/>
              </w:rPr>
              <w:t>1）中标人应有充足的抽样</w:t>
            </w:r>
            <w:r>
              <w:rPr>
                <w:sz w:val="24"/>
              </w:rPr>
              <w:t>、</w:t>
            </w:r>
            <w:r>
              <w:rPr>
                <w:sz w:val="24"/>
              </w:rPr>
              <w:t>检验人员</w:t>
            </w:r>
            <w:r>
              <w:rPr>
                <w:sz w:val="24"/>
              </w:rPr>
              <w:t>，</w:t>
            </w:r>
            <w:r>
              <w:rPr>
                <w:sz w:val="24"/>
              </w:rPr>
              <w:t>保障抽检进度</w:t>
            </w:r>
            <w:r>
              <w:rPr>
                <w:sz w:val="24"/>
              </w:rPr>
              <w:t>，</w:t>
            </w:r>
            <w:r>
              <w:rPr>
                <w:sz w:val="24"/>
              </w:rPr>
              <w:t>并具备履行合同所需专业技术能力，</w:t>
            </w:r>
            <w:r>
              <w:rPr>
                <w:sz w:val="24"/>
              </w:rPr>
              <w:t>以满足采购人日常抽检和案件稽查、事故调查、应急处置等抽检需求。</w:t>
            </w:r>
          </w:p>
          <w:p>
            <w:pPr>
              <w:pStyle w:val="null3"/>
              <w:jc w:val="left"/>
            </w:pPr>
            <w:r>
              <w:rPr>
                <w:sz w:val="24"/>
              </w:rPr>
              <w:t>（</w:t>
            </w:r>
            <w:r>
              <w:rPr>
                <w:sz w:val="24"/>
              </w:rPr>
              <w:t>2）抽样和检验要分离。即对某一食品的抽检，中标人派出的抽样人员与检验人员不得为同一人。</w:t>
            </w:r>
          </w:p>
          <w:p>
            <w:pPr>
              <w:pStyle w:val="null3"/>
              <w:jc w:val="left"/>
            </w:pPr>
            <w:r>
              <w:rPr>
                <w:sz w:val="24"/>
              </w:rPr>
              <w:t>5.交通工具：</w:t>
            </w:r>
            <w:r>
              <w:rPr>
                <w:sz w:val="24"/>
              </w:rPr>
              <w:t>中标人</w:t>
            </w:r>
            <w:r>
              <w:rPr>
                <w:sz w:val="24"/>
              </w:rPr>
              <w:t>负责。中标人负责每次检验样品的运送，并具有保存样品的能力，确保样品安全。</w:t>
            </w:r>
          </w:p>
          <w:p>
            <w:pPr>
              <w:pStyle w:val="null3"/>
              <w:jc w:val="left"/>
            </w:pPr>
            <w:r>
              <w:rPr>
                <w:sz w:val="24"/>
              </w:rPr>
              <w:t>6.抽检任务：</w:t>
            </w:r>
          </w:p>
          <w:p>
            <w:pPr>
              <w:pStyle w:val="null3"/>
              <w:jc w:val="left"/>
            </w:pPr>
            <w:r>
              <w:rPr>
                <w:sz w:val="24"/>
              </w:rPr>
              <w:t>（</w:t>
            </w:r>
            <w:r>
              <w:rPr>
                <w:sz w:val="24"/>
              </w:rPr>
              <w:t>1</w:t>
            </w:r>
            <w:r>
              <w:rPr>
                <w:sz w:val="24"/>
              </w:rPr>
              <w:t>）</w:t>
            </w:r>
            <w:r>
              <w:rPr>
                <w:sz w:val="24"/>
              </w:rPr>
              <w:t>承担项目服务期内各项抽检任务，抽检品种、抽检批次</w:t>
            </w:r>
            <w:r>
              <w:rPr>
                <w:sz w:val="24"/>
              </w:rPr>
              <w:t>，</w:t>
            </w:r>
            <w:r>
              <w:rPr>
                <w:sz w:val="24"/>
              </w:rPr>
              <w:t>“详见（二）项目采购内容清单”。</w:t>
            </w:r>
          </w:p>
          <w:p>
            <w:pPr>
              <w:pStyle w:val="null3"/>
              <w:jc w:val="left"/>
            </w:pPr>
            <w:r>
              <w:rPr>
                <w:sz w:val="24"/>
              </w:rPr>
              <w:t>（</w:t>
            </w:r>
            <w:r>
              <w:rPr>
                <w:sz w:val="24"/>
              </w:rPr>
              <w:t>2</w:t>
            </w:r>
            <w:r>
              <w:rPr>
                <w:sz w:val="24"/>
              </w:rPr>
              <w:t>）中标人应</w:t>
            </w:r>
            <w:r>
              <w:rPr>
                <w:sz w:val="24"/>
              </w:rPr>
              <w:t>按计划和方案</w:t>
            </w:r>
            <w:r>
              <w:rPr>
                <w:sz w:val="24"/>
              </w:rPr>
              <w:t>落实均衡抽检，合理安排月度、季度抽检任务，合理分配不同品种、不同区域、不同规模、不同环节、不同企业的抽检，提升抽检效能。</w:t>
            </w:r>
          </w:p>
          <w:p>
            <w:pPr>
              <w:pStyle w:val="null3"/>
              <w:jc w:val="left"/>
            </w:pPr>
            <w:r>
              <w:rPr>
                <w:sz w:val="24"/>
              </w:rPr>
              <w:t>7.抽检计划：由中标人协助采购人制定具体的项目实施计划</w:t>
            </w:r>
            <w:r>
              <w:rPr>
                <w:sz w:val="24"/>
              </w:rPr>
              <w:t>和方案</w:t>
            </w:r>
            <w:r>
              <w:rPr>
                <w:sz w:val="24"/>
              </w:rPr>
              <w:t>。</w:t>
            </w:r>
          </w:p>
          <w:p>
            <w:pPr>
              <w:pStyle w:val="null3"/>
              <w:jc w:val="left"/>
            </w:pPr>
            <w:r>
              <w:rPr>
                <w:sz w:val="24"/>
              </w:rPr>
              <w:t>8.抽样前准备工作、抽取样品、样品运输、抽样纪律等程序：采购人将根据《中华人民共和国食品安全法》《食品安全抽样检验管理办法》（市场监管总局令第15号）、《市场监管总局办公厅关于印发食品安全抽样检验工作规范的通知》等</w:t>
            </w:r>
            <w:r>
              <w:rPr>
                <w:sz w:val="24"/>
              </w:rPr>
              <w:t>政策法规</w:t>
            </w:r>
            <w:r>
              <w:rPr>
                <w:sz w:val="24"/>
              </w:rPr>
              <w:t>制定具体要求，供</w:t>
            </w:r>
            <w:r>
              <w:rPr>
                <w:sz w:val="24"/>
              </w:rPr>
              <w:t>中标人</w:t>
            </w:r>
            <w:r>
              <w:rPr>
                <w:sz w:val="24"/>
              </w:rPr>
              <w:t>执行。</w:t>
            </w:r>
          </w:p>
          <w:p>
            <w:pPr>
              <w:pStyle w:val="null3"/>
              <w:jc w:val="left"/>
            </w:pPr>
            <w:r>
              <w:rPr>
                <w:sz w:val="24"/>
              </w:rPr>
              <w:t>9.应急抽检要求：</w:t>
            </w:r>
            <w:r>
              <w:rPr>
                <w:sz w:val="24"/>
              </w:rPr>
              <w:t>中标人需在采购人</w:t>
            </w:r>
            <w:r>
              <w:rPr>
                <w:sz w:val="24"/>
              </w:rPr>
              <w:t>规定</w:t>
            </w:r>
            <w:r>
              <w:rPr>
                <w:sz w:val="24"/>
              </w:rPr>
              <w:t>的时间内开展应对食品检测突发事件并</w:t>
            </w:r>
            <w:r>
              <w:rPr>
                <w:sz w:val="24"/>
              </w:rPr>
              <w:t>委</w:t>
            </w:r>
            <w:r>
              <w:rPr>
                <w:sz w:val="24"/>
              </w:rPr>
              <w:t>派检验员提供应急检测服务，并按采购人的要求进行特殊情况抽检和专项抽检，包括突发事件应急抽检、夜间紧急抽检、突击抽检</w:t>
            </w:r>
            <w:r>
              <w:rPr>
                <w:sz w:val="24"/>
              </w:rPr>
              <w:t>、数据上报</w:t>
            </w:r>
            <w:r>
              <w:rPr>
                <w:sz w:val="24"/>
              </w:rPr>
              <w:t>等相关服务内容。</w:t>
            </w:r>
          </w:p>
          <w:p>
            <w:pPr>
              <w:pStyle w:val="null3"/>
              <w:jc w:val="left"/>
            </w:pPr>
            <w:r>
              <w:rPr>
                <w:sz w:val="24"/>
              </w:rPr>
              <w:t>10</w:t>
            </w:r>
            <w:r>
              <w:rPr>
                <w:sz w:val="24"/>
              </w:rPr>
              <w:t>.样品购买、保存和处理：</w:t>
            </w:r>
          </w:p>
          <w:p>
            <w:pPr>
              <w:pStyle w:val="null3"/>
              <w:jc w:val="left"/>
            </w:pPr>
            <w:r>
              <w:rPr>
                <w:sz w:val="24"/>
              </w:rPr>
              <w:t>（</w:t>
            </w:r>
            <w:r>
              <w:rPr>
                <w:sz w:val="24"/>
              </w:rPr>
              <w:t>1）监督抽检的样品应一式两份，分为检验样品和复检备份样品，由中标人支付购样费。</w:t>
            </w:r>
          </w:p>
          <w:p>
            <w:pPr>
              <w:pStyle w:val="null3"/>
              <w:jc w:val="both"/>
            </w:pPr>
            <w:r>
              <w:rPr>
                <w:sz w:val="24"/>
              </w:rPr>
              <w:t>（</w:t>
            </w:r>
            <w:r>
              <w:rPr>
                <w:sz w:val="24"/>
              </w:rPr>
              <w:t>2）中标人依照法律法规要求对样品进行保存。对于保存期满的复检备份样品，由中标人采用合法合理方式进行处理，处理</w:t>
            </w:r>
            <w:r>
              <w:rPr>
                <w:sz w:val="24"/>
              </w:rPr>
              <w:t>情况</w:t>
            </w:r>
            <w:r>
              <w:rPr>
                <w:sz w:val="24"/>
              </w:rPr>
              <w:t>报告采购人，并接受采购人监督。</w:t>
            </w:r>
          </w:p>
        </w:tc>
      </w:tr>
      <w:tr>
        <w:tc>
          <w:tcPr>
            <w:tcW w:type="dxa" w:w="2076"/>
          </w:tcPr>
          <w:p/>
        </w:tc>
        <w:tc>
          <w:tcPr>
            <w:tcW w:type="dxa" w:w="415"/>
          </w:tcPr>
          <w:p>
            <w:pPr>
              <w:pStyle w:val="null3"/>
            </w:pPr>
            <w:r>
              <w:rPr/>
              <w:t>4</w:t>
            </w:r>
          </w:p>
        </w:tc>
        <w:tc>
          <w:tcPr>
            <w:tcW w:type="dxa" w:w="5814"/>
          </w:tcPr>
          <w:p>
            <w:pPr>
              <w:pStyle w:val="null3"/>
              <w:jc w:val="left"/>
            </w:pPr>
            <w:r>
              <w:rPr>
                <w:sz w:val="24"/>
                <w:b/>
              </w:rPr>
              <w:t>（四）检验工作的要求</w:t>
            </w:r>
          </w:p>
          <w:p>
            <w:pPr>
              <w:pStyle w:val="null3"/>
              <w:jc w:val="left"/>
            </w:pPr>
            <w:r>
              <w:rPr>
                <w:sz w:val="24"/>
              </w:rPr>
              <w:t>1.根据采购人的工作需求，中标人应派驻相关专业人员到采购人处，集中开展抽检相关工作。</w:t>
            </w:r>
          </w:p>
          <w:p>
            <w:pPr>
              <w:pStyle w:val="null3"/>
              <w:jc w:val="left"/>
            </w:pPr>
            <w:r>
              <w:rPr>
                <w:sz w:val="24"/>
              </w:rPr>
              <w:t>2</w:t>
            </w:r>
            <w:r>
              <w:rPr>
                <w:sz w:val="24"/>
              </w:rPr>
              <w:t>.食品检验由食品检验机构指定的检验人独立进行。检验人应当依照有关法律、法规的规定，并依照食品安全标准和检验规范对食品进行检验，尊重科学，恪守职业道德，保证出具的检验数据和结论客观、公正，不得出具虚假的检验报告。</w:t>
            </w:r>
          </w:p>
          <w:p>
            <w:pPr>
              <w:pStyle w:val="null3"/>
              <w:jc w:val="left"/>
            </w:pPr>
            <w:r>
              <w:rPr>
                <w:sz w:val="24"/>
              </w:rPr>
              <w:t>3</w:t>
            </w:r>
            <w:r>
              <w:rPr>
                <w:sz w:val="24"/>
              </w:rPr>
              <w:t>.检验时间：一般要求自收到样品之日起20个工作日内出具检验报告，如因特殊情况需延长检验期限的，可另行约定。应节应急抽检、执法抽检等有特殊时限要求的，根据采购人要求加快检验。</w:t>
            </w:r>
          </w:p>
          <w:p>
            <w:pPr>
              <w:pStyle w:val="null3"/>
              <w:jc w:val="left"/>
            </w:pPr>
            <w:r>
              <w:rPr>
                <w:sz w:val="24"/>
              </w:rPr>
              <w:t>4.中标人的检验实验室环境洁净度、设施设备应当符合国家实验室有关管理规定的要求，以保证食品检测中菌落总数、大肠菌群、霉菌等微生物项目的准确度，并具备与项目需求相匹配的检验能力，具有支撑检验任务的检验人员及仪器设备，拥有运行良好的实验室管理体系，能提供清晰、全面的检测分析方案，确保检验结果的准确可靠。</w:t>
            </w:r>
          </w:p>
          <w:p>
            <w:pPr>
              <w:pStyle w:val="null3"/>
              <w:jc w:val="left"/>
            </w:pPr>
            <w:r>
              <w:rPr>
                <w:sz w:val="24"/>
              </w:rPr>
              <w:t>5.检验依据：依照检测样品的国家标准。无国家标准的，可依照地方标准、行业标准，产品明示标准和质量要求，相关的法律法规、部门规章和规定等执行。</w:t>
            </w:r>
          </w:p>
          <w:p>
            <w:pPr>
              <w:pStyle w:val="null3"/>
              <w:jc w:val="left"/>
            </w:pPr>
            <w:r>
              <w:rPr>
                <w:sz w:val="24"/>
              </w:rPr>
              <w:t>6</w:t>
            </w:r>
            <w:r>
              <w:rPr>
                <w:sz w:val="24"/>
              </w:rPr>
              <w:t>.</w:t>
            </w:r>
            <w:r>
              <w:rPr>
                <w:sz w:val="24"/>
              </w:rPr>
              <w:t>围绕监管急需、执法急用、</w:t>
            </w:r>
            <w:r>
              <w:rPr>
                <w:sz w:val="24"/>
              </w:rPr>
              <w:t>基层</w:t>
            </w:r>
            <w:r>
              <w:rPr>
                <w:sz w:val="24"/>
              </w:rPr>
              <w:t>实需，</w:t>
            </w:r>
            <w:r>
              <w:rPr>
                <w:sz w:val="24"/>
              </w:rPr>
              <w:t>中标人应了解行业发展动态，熟悉食品生产工艺</w:t>
            </w:r>
            <w:r>
              <w:rPr>
                <w:sz w:val="24"/>
              </w:rPr>
              <w:t>、</w:t>
            </w:r>
            <w:r>
              <w:rPr>
                <w:sz w:val="24"/>
              </w:rPr>
              <w:t>食品标准等</w:t>
            </w:r>
            <w:r>
              <w:rPr>
                <w:sz w:val="24"/>
              </w:rPr>
              <w:t>，具有</w:t>
            </w:r>
            <w:r>
              <w:rPr>
                <w:sz w:val="24"/>
              </w:rPr>
              <w:t>一定的</w:t>
            </w:r>
            <w:r>
              <w:rPr>
                <w:sz w:val="24"/>
              </w:rPr>
              <w:t>食品检验方法</w:t>
            </w:r>
            <w:r>
              <w:rPr>
                <w:sz w:val="24"/>
              </w:rPr>
              <w:t>、</w:t>
            </w:r>
            <w:r>
              <w:rPr>
                <w:sz w:val="24"/>
              </w:rPr>
              <w:t>标准和技术</w:t>
            </w:r>
            <w:r>
              <w:rPr>
                <w:sz w:val="24"/>
              </w:rPr>
              <w:t>研发能力，对目前暂未有判定依据的项目</w:t>
            </w:r>
            <w:r>
              <w:rPr>
                <w:sz w:val="24"/>
              </w:rPr>
              <w:t>可</w:t>
            </w:r>
            <w:r>
              <w:rPr>
                <w:sz w:val="24"/>
              </w:rPr>
              <w:t>出具检测数值、检测方法介绍、结果分析和处理建议</w:t>
            </w:r>
            <w:r>
              <w:rPr>
                <w:sz w:val="24"/>
              </w:rPr>
              <w:t>，为应对食品突发事件和有效排查食品非法添加问题提供技术支持。</w:t>
            </w:r>
          </w:p>
          <w:p>
            <w:pPr>
              <w:pStyle w:val="null3"/>
              <w:jc w:val="left"/>
            </w:pPr>
            <w:r>
              <w:rPr>
                <w:sz w:val="24"/>
              </w:rPr>
              <w:t>7</w:t>
            </w:r>
            <w:r>
              <w:rPr>
                <w:sz w:val="24"/>
              </w:rPr>
              <w:t>.中标人应当专业操守、尽职尽责，根据</w:t>
            </w:r>
            <w:r>
              <w:rPr>
                <w:sz w:val="24"/>
              </w:rPr>
              <w:t>食品</w:t>
            </w:r>
            <w:r>
              <w:rPr>
                <w:sz w:val="24"/>
              </w:rPr>
              <w:t>相关标准进行样品的抽样、检验及判定工作，并且按当次抽检方案约定日期出具检验报告。抽检监测任务完成后，中标人应对所有抽检产品检验结果进行统计和分析，</w:t>
            </w:r>
            <w:r>
              <w:rPr>
                <w:sz w:val="24"/>
              </w:rPr>
              <w:t>提出</w:t>
            </w:r>
            <w:r>
              <w:rPr>
                <w:sz w:val="24"/>
              </w:rPr>
              <w:t>监管建议。</w:t>
            </w:r>
          </w:p>
          <w:p>
            <w:pPr>
              <w:pStyle w:val="null3"/>
              <w:jc w:val="left"/>
            </w:pPr>
            <w:r>
              <w:rPr>
                <w:sz w:val="24"/>
              </w:rPr>
              <w:t>8</w:t>
            </w:r>
            <w:r>
              <w:rPr>
                <w:sz w:val="24"/>
              </w:rPr>
              <w:t>.中标人须对检验结果的真实性负责，由于虚假、错误检验数据和结论造成不良影响的，采购人有权终止合同，并由中标人承担相应法律责任。</w:t>
            </w:r>
          </w:p>
          <w:p>
            <w:pPr>
              <w:pStyle w:val="null3"/>
              <w:jc w:val="both"/>
            </w:pPr>
            <w:r>
              <w:rPr>
                <w:sz w:val="24"/>
              </w:rPr>
              <w:t>9</w:t>
            </w:r>
            <w:r>
              <w:rPr>
                <w:sz w:val="24"/>
              </w:rPr>
              <w:t>.中标人在开展抽检监测过程中弄虚作假或者不配合采购人开展工作的，采购人有权终止合同并追究中标人违约责任。</w:t>
            </w:r>
          </w:p>
        </w:tc>
      </w:tr>
      <w:tr>
        <w:tc>
          <w:tcPr>
            <w:tcW w:type="dxa" w:w="2076"/>
          </w:tcPr>
          <w:p/>
        </w:tc>
        <w:tc>
          <w:tcPr>
            <w:tcW w:type="dxa" w:w="415"/>
          </w:tcPr>
          <w:p>
            <w:pPr>
              <w:pStyle w:val="null3"/>
            </w:pPr>
            <w:r>
              <w:rPr/>
              <w:t>5</w:t>
            </w:r>
          </w:p>
        </w:tc>
        <w:tc>
          <w:tcPr>
            <w:tcW w:type="dxa" w:w="5814"/>
          </w:tcPr>
          <w:p>
            <w:pPr>
              <w:pStyle w:val="null3"/>
              <w:jc w:val="left"/>
            </w:pPr>
            <w:r>
              <w:rPr>
                <w:sz w:val="24"/>
                <w:b/>
              </w:rPr>
              <w:t>（五）检验结果的处理</w:t>
            </w:r>
          </w:p>
          <w:p>
            <w:pPr>
              <w:pStyle w:val="null3"/>
              <w:jc w:val="left"/>
            </w:pPr>
            <w:r>
              <w:rPr>
                <w:sz w:val="24"/>
              </w:rPr>
              <w:t>1.出具检验结论、提供检验报告及有关材料的送达、告知：采购人将根据《中华人民共和国食品安全法》《食品安全抽样检验管理办法》(市场监管总局令第15号)、《市场监管总局办公厅关于印发食品安全抽样检验工作规范的通知》等政策法规制定具体要求，供中标人执行。</w:t>
            </w:r>
          </w:p>
          <w:p>
            <w:pPr>
              <w:pStyle w:val="null3"/>
              <w:jc w:val="left"/>
            </w:pPr>
            <w:r>
              <w:rPr>
                <w:sz w:val="24"/>
              </w:rPr>
              <w:t>2.检验结果的评估：中标人应指派专人负责整理、分类、汇总抽检数据。中标人要对不合格项目进行原因及危害性分析评估，并出具分析评估报告，提出下一步检测意见和建议。发生食品安全突发事件时，中标人应配合做好分析评估工作，为采购人的决策提供技术依据。</w:t>
            </w:r>
          </w:p>
          <w:p>
            <w:pPr>
              <w:pStyle w:val="null3"/>
              <w:jc w:val="left"/>
            </w:pPr>
            <w:r>
              <w:rPr>
                <w:sz w:val="24"/>
              </w:rPr>
              <w:t>3.对被抽检单位异议的处理以及复检：</w:t>
            </w:r>
          </w:p>
          <w:p>
            <w:pPr>
              <w:pStyle w:val="null3"/>
              <w:jc w:val="left"/>
            </w:pPr>
            <w:r>
              <w:rPr>
                <w:sz w:val="24"/>
              </w:rPr>
              <w:t>（</w:t>
            </w:r>
            <w:r>
              <w:rPr>
                <w:sz w:val="24"/>
              </w:rPr>
              <w:t>1）协助采购人处理被抽检单位提出的异议申请。</w:t>
            </w:r>
          </w:p>
          <w:p>
            <w:pPr>
              <w:pStyle w:val="null3"/>
              <w:jc w:val="left"/>
            </w:pPr>
            <w:r>
              <w:rPr>
                <w:sz w:val="24"/>
              </w:rPr>
              <w:t>（</w:t>
            </w:r>
            <w:r>
              <w:rPr>
                <w:sz w:val="24"/>
              </w:rPr>
              <w:t>2）初检机构配合有关复检工作，复检机构依法开展复检工作。</w:t>
            </w:r>
          </w:p>
          <w:p>
            <w:pPr>
              <w:pStyle w:val="null3"/>
              <w:jc w:val="left"/>
            </w:pPr>
            <w:r>
              <w:rPr>
                <w:sz w:val="24"/>
              </w:rPr>
              <w:t>（</w:t>
            </w:r>
            <w:r>
              <w:rPr>
                <w:sz w:val="24"/>
              </w:rPr>
              <w:t>3）具备复检机构资格的中标人，在接到采购人指定的复检任务时，应予以受理。特殊情况不能接受的，复检中标人应说明理由并与采购人协商解决。复检机构由采购人指定。</w:t>
            </w:r>
          </w:p>
          <w:p>
            <w:pPr>
              <w:pStyle w:val="null3"/>
              <w:jc w:val="left"/>
            </w:pPr>
            <w:r>
              <w:rPr>
                <w:sz w:val="24"/>
              </w:rPr>
              <w:t>（</w:t>
            </w:r>
            <w:r>
              <w:rPr>
                <w:sz w:val="24"/>
              </w:rPr>
              <w:t>4）复检结论与初检结论不一致的，复检费用由初检机构承担；复检结论与初检结论一致的，复检费用由复检申请人承担。</w:t>
            </w:r>
          </w:p>
          <w:p>
            <w:pPr>
              <w:pStyle w:val="null3"/>
              <w:jc w:val="left"/>
            </w:pPr>
            <w:r>
              <w:rPr>
                <w:sz w:val="24"/>
              </w:rPr>
              <w:t>4.涉及抽检的全部情况包括数据及结果，中标人必须保密，不得向除采购人以外的任何单位与个人透露情况。</w:t>
            </w:r>
          </w:p>
          <w:p>
            <w:pPr>
              <w:pStyle w:val="null3"/>
              <w:jc w:val="both"/>
            </w:pPr>
            <w:r>
              <w:rPr>
                <w:sz w:val="24"/>
              </w:rPr>
              <w:t>5.为保证检验报告及有关公文的顺利送达，邮寄必须选择EMS或顺丰速运。邮寄所需费用由中标人支付。</w:t>
            </w:r>
          </w:p>
        </w:tc>
      </w:tr>
      <w:tr>
        <w:tc>
          <w:tcPr>
            <w:tcW w:type="dxa" w:w="2076"/>
          </w:tcPr>
          <w:p/>
        </w:tc>
        <w:tc>
          <w:tcPr>
            <w:tcW w:type="dxa" w:w="415"/>
          </w:tcPr>
          <w:p>
            <w:pPr>
              <w:pStyle w:val="null3"/>
            </w:pPr>
            <w:r>
              <w:rPr/>
              <w:t>6</w:t>
            </w:r>
          </w:p>
        </w:tc>
        <w:tc>
          <w:tcPr>
            <w:tcW w:type="dxa" w:w="5814"/>
          </w:tcPr>
          <w:p>
            <w:pPr>
              <w:pStyle w:val="null3"/>
              <w:jc w:val="left"/>
            </w:pPr>
            <w:r>
              <w:rPr>
                <w:sz w:val="24"/>
                <w:b/>
              </w:rPr>
              <w:t>（</w:t>
            </w:r>
            <w:r>
              <w:rPr>
                <w:sz w:val="24"/>
                <w:b/>
              </w:rPr>
              <w:t>六</w:t>
            </w:r>
            <w:r>
              <w:rPr>
                <w:sz w:val="24"/>
                <w:b/>
              </w:rPr>
              <w:t>）日常技术服务</w:t>
            </w:r>
          </w:p>
          <w:p>
            <w:pPr>
              <w:pStyle w:val="null3"/>
              <w:jc w:val="left"/>
            </w:pPr>
            <w:r>
              <w:rPr>
                <w:sz w:val="24"/>
              </w:rPr>
              <w:t>中标人根据采购人的工作需求，提供以下技术服务：</w:t>
            </w:r>
          </w:p>
          <w:p>
            <w:pPr>
              <w:pStyle w:val="null3"/>
              <w:jc w:val="left"/>
            </w:pPr>
            <w:r>
              <w:rPr>
                <w:sz w:val="24"/>
              </w:rPr>
              <w:t>1.</w:t>
            </w:r>
            <w:r>
              <w:rPr>
                <w:sz w:val="24"/>
              </w:rPr>
              <w:t>组织专家</w:t>
            </w:r>
            <w:r>
              <w:rPr>
                <w:sz w:val="24"/>
              </w:rPr>
              <w:t>对抽检数据进行分析，协助</w:t>
            </w:r>
            <w:r>
              <w:rPr>
                <w:sz w:val="24"/>
              </w:rPr>
              <w:t>组织</w:t>
            </w:r>
            <w:r>
              <w:rPr>
                <w:sz w:val="24"/>
              </w:rPr>
              <w:t>编撰分析报告</w:t>
            </w:r>
            <w:r>
              <w:rPr>
                <w:sz w:val="24"/>
              </w:rPr>
              <w:t>，</w:t>
            </w:r>
            <w:r>
              <w:rPr>
                <w:sz w:val="24"/>
              </w:rPr>
              <w:t>提出监管建议。</w:t>
            </w:r>
          </w:p>
          <w:p>
            <w:pPr>
              <w:pStyle w:val="null3"/>
              <w:jc w:val="left"/>
            </w:pPr>
            <w:r>
              <w:rPr>
                <w:sz w:val="24"/>
              </w:rPr>
              <w:t>2</w:t>
            </w:r>
            <w:r>
              <w:rPr>
                <w:sz w:val="24"/>
              </w:rPr>
              <w:t>.</w:t>
            </w:r>
            <w:r>
              <w:rPr>
                <w:sz w:val="24"/>
              </w:rPr>
              <w:t>提升前沿检测分析，</w:t>
            </w:r>
            <w:r>
              <w:rPr>
                <w:sz w:val="24"/>
              </w:rPr>
              <w:t>安排专家接受风险交流、</w:t>
            </w:r>
            <w:r>
              <w:rPr>
                <w:sz w:val="24"/>
              </w:rPr>
              <w:t>科研</w:t>
            </w:r>
            <w:r>
              <w:rPr>
                <w:sz w:val="24"/>
              </w:rPr>
              <w:t>研讨、课题研究，参与补充检验方法的制订、验证或使用</w:t>
            </w:r>
            <w:r>
              <w:rPr>
                <w:sz w:val="24"/>
              </w:rPr>
              <w:t>，为应对突发事件和有效排查非法添加问题提供技术支持。</w:t>
            </w:r>
          </w:p>
          <w:p>
            <w:pPr>
              <w:pStyle w:val="null3"/>
              <w:jc w:val="left"/>
            </w:pPr>
            <w:r>
              <w:rPr>
                <w:sz w:val="24"/>
              </w:rPr>
              <w:t>3.负责食品安全宣传活动中的咨询、检测</w:t>
            </w:r>
            <w:r>
              <w:rPr>
                <w:sz w:val="24"/>
              </w:rPr>
              <w:t>、宣讲等服务。</w:t>
            </w:r>
          </w:p>
          <w:p>
            <w:pPr>
              <w:pStyle w:val="null3"/>
              <w:jc w:val="left"/>
            </w:pPr>
            <w:r>
              <w:rPr>
                <w:sz w:val="24"/>
              </w:rPr>
              <w:t>4.</w:t>
            </w:r>
            <w:r>
              <w:rPr>
                <w:sz w:val="24"/>
              </w:rPr>
              <w:t>抽检系统、</w:t>
            </w:r>
            <w:r>
              <w:rPr>
                <w:sz w:val="24"/>
              </w:rPr>
              <w:t>新闻发布、</w:t>
            </w:r>
            <w:r>
              <w:rPr>
                <w:sz w:val="24"/>
              </w:rPr>
              <w:t>危机应对</w:t>
            </w:r>
            <w:r>
              <w:rPr>
                <w:sz w:val="24"/>
              </w:rPr>
              <w:t>、技能竞赛等技术支持。</w:t>
            </w:r>
            <w:r>
              <w:rPr>
                <w:sz w:val="24"/>
              </w:rPr>
              <w:t xml:space="preserve">                                  </w:t>
            </w:r>
          </w:p>
          <w:p>
            <w:pPr>
              <w:pStyle w:val="null3"/>
              <w:jc w:val="left"/>
            </w:pPr>
            <w:r>
              <w:rPr>
                <w:sz w:val="24"/>
              </w:rPr>
              <w:t>5.</w:t>
            </w:r>
            <w:r>
              <w:rPr>
                <w:sz w:val="24"/>
              </w:rPr>
              <w:t>组织开展</w:t>
            </w:r>
            <w:r>
              <w:rPr>
                <w:sz w:val="24"/>
              </w:rPr>
              <w:t>“你点我检”</w:t>
            </w:r>
            <w:r>
              <w:rPr>
                <w:sz w:val="24"/>
              </w:rPr>
              <w:t>“百姓点检日”线上线下活动</w:t>
            </w:r>
            <w:r>
              <w:rPr>
                <w:sz w:val="24"/>
              </w:rPr>
              <w:t>。</w:t>
            </w:r>
          </w:p>
          <w:p>
            <w:pPr>
              <w:pStyle w:val="null3"/>
              <w:jc w:val="left"/>
            </w:pPr>
            <w:r>
              <w:rPr>
                <w:sz w:val="24"/>
              </w:rPr>
              <w:t>6.接收</w:t>
            </w:r>
            <w:r>
              <w:rPr>
                <w:sz w:val="24"/>
              </w:rPr>
              <w:t>采购人</w:t>
            </w:r>
            <w:r>
              <w:rPr>
                <w:sz w:val="24"/>
              </w:rPr>
              <w:t>委托的应急</w:t>
            </w:r>
            <w:r>
              <w:rPr>
                <w:sz w:val="24"/>
              </w:rPr>
              <w:t>应节</w:t>
            </w:r>
            <w:r>
              <w:rPr>
                <w:sz w:val="24"/>
              </w:rPr>
              <w:t>抽检、复检等技术任务。</w:t>
            </w:r>
          </w:p>
          <w:p>
            <w:pPr>
              <w:pStyle w:val="null3"/>
              <w:jc w:val="both"/>
            </w:pPr>
            <w:r>
              <w:rPr>
                <w:sz w:val="24"/>
              </w:rPr>
              <w:t>7.其他根据工作提出的技术服务。</w:t>
            </w:r>
          </w:p>
        </w:tc>
      </w:tr>
      <w:tr>
        <w:tc>
          <w:tcPr>
            <w:tcW w:type="dxa" w:w="2076"/>
          </w:tcPr>
          <w:p/>
        </w:tc>
        <w:tc>
          <w:tcPr>
            <w:tcW w:type="dxa" w:w="415"/>
          </w:tcPr>
          <w:p>
            <w:pPr>
              <w:pStyle w:val="null3"/>
            </w:pPr>
            <w:r>
              <w:rPr/>
              <w:t>7</w:t>
            </w:r>
          </w:p>
        </w:tc>
        <w:tc>
          <w:tcPr>
            <w:tcW w:type="dxa" w:w="5814"/>
          </w:tcPr>
          <w:p>
            <w:pPr>
              <w:pStyle w:val="null3"/>
              <w:jc w:val="left"/>
            </w:pPr>
            <w:r>
              <w:rPr>
                <w:sz w:val="24"/>
                <w:b/>
              </w:rPr>
              <w:t>（</w:t>
            </w:r>
            <w:r>
              <w:rPr>
                <w:sz w:val="24"/>
                <w:b/>
              </w:rPr>
              <w:t>七</w:t>
            </w:r>
            <w:r>
              <w:rPr>
                <w:sz w:val="24"/>
                <w:b/>
              </w:rPr>
              <w:t>）其他</w:t>
            </w:r>
            <w:r>
              <w:rPr>
                <w:sz w:val="24"/>
                <w:b/>
              </w:rPr>
              <w:t>要求</w:t>
            </w:r>
          </w:p>
          <w:p>
            <w:pPr>
              <w:pStyle w:val="null3"/>
              <w:jc w:val="both"/>
            </w:pPr>
            <w:r>
              <w:rPr>
                <w:sz w:val="24"/>
              </w:rPr>
              <w:t>1.中标人应建立食品检验业务信息化系统，与采购人的食品抽样检验系统实现有效对接，并按照采购人要求按时将有关数据、材料导入或录入食品抽样检验系统</w:t>
            </w:r>
            <w:r>
              <w:rPr>
                <w:sz w:val="24"/>
              </w:rPr>
              <w:t>；</w:t>
            </w:r>
            <w:r>
              <w:rPr>
                <w:sz w:val="24"/>
              </w:rPr>
              <w:t>收集、整理、保存数据</w:t>
            </w:r>
            <w:r>
              <w:rPr>
                <w:sz w:val="24"/>
              </w:rPr>
              <w:t>，</w:t>
            </w:r>
            <w:r>
              <w:rPr>
                <w:sz w:val="24"/>
              </w:rPr>
              <w:t>随时备查。</w:t>
            </w:r>
          </w:p>
          <w:p>
            <w:pPr>
              <w:pStyle w:val="null3"/>
              <w:jc w:val="both"/>
            </w:pPr>
            <w:r>
              <w:rPr>
                <w:sz w:val="24"/>
              </w:rPr>
              <w:t>2</w:t>
            </w:r>
            <w:r>
              <w:rPr>
                <w:sz w:val="24"/>
              </w:rPr>
              <w:t>.根据工作需要和财政实际下达资金的情况，采购人对各中标人的承检任务及经费可以适当调整，中标人应当予以支持。</w:t>
            </w:r>
          </w:p>
          <w:p>
            <w:pPr>
              <w:pStyle w:val="null3"/>
              <w:jc w:val="both"/>
            </w:pPr>
            <w:r>
              <w:rPr>
                <w:sz w:val="24"/>
              </w:rPr>
              <w:t>3</w:t>
            </w:r>
            <w:r>
              <w:rPr>
                <w:sz w:val="24"/>
              </w:rPr>
              <w:t>.本项目需求中未作细化详尽的地方，采购人将在抽检开始前制定具体的要求，中标人应遵守执行；当政策法规发生调整或者工作形势发生变更，采购人可以调整有关抽检操作要求，中标人应按采购人要求实施。</w:t>
            </w:r>
          </w:p>
        </w:tc>
      </w:tr>
      <w:tr>
        <w:tc>
          <w:tcPr>
            <w:tcW w:type="dxa" w:w="2076"/>
          </w:tcPr>
          <w:p/>
        </w:tc>
        <w:tc>
          <w:tcPr>
            <w:tcW w:type="dxa" w:w="415"/>
          </w:tcPr>
          <w:p>
            <w:pPr>
              <w:pStyle w:val="null3"/>
            </w:pPr>
            <w:r>
              <w:rPr/>
              <w:t>8</w:t>
            </w:r>
          </w:p>
        </w:tc>
        <w:tc>
          <w:tcPr>
            <w:tcW w:type="dxa" w:w="5814"/>
          </w:tcPr>
          <w:p>
            <w:pPr>
              <w:pStyle w:val="null3"/>
              <w:jc w:val="left"/>
            </w:pPr>
            <w:r>
              <w:rPr>
                <w:sz w:val="24"/>
                <w:b/>
              </w:rPr>
              <w:t>附件一：</w:t>
            </w:r>
          </w:p>
          <w:p>
            <w:pPr>
              <w:pStyle w:val="null3"/>
              <w:jc w:val="center"/>
            </w:pPr>
            <w:r>
              <w:rPr>
                <w:sz w:val="28"/>
                <w:b/>
              </w:rPr>
              <w:t>检验类别响应表</w:t>
            </w:r>
          </w:p>
          <w:tbl>
            <w:tblPr>
              <w:tblBorders>
                <w:top w:val="none" w:color="000000" w:sz="4"/>
                <w:left w:val="none" w:color="000000" w:sz="4"/>
                <w:bottom w:val="none" w:color="000000" w:sz="4"/>
                <w:right w:val="none" w:color="000000" w:sz="4"/>
                <w:insideH w:val="none"/>
                <w:insideV w:val="none"/>
              </w:tblBorders>
            </w:tblPr>
            <w:tblGrid>
              <w:gridCol w:w="762"/>
              <w:gridCol w:w="2567"/>
              <w:gridCol w:w="2245"/>
            </w:tblGrid>
            <w:tr>
              <w:tc>
                <w:tcPr>
                  <w:tcW w:type="dxa" w:w="7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25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食品大类（一级）</w:t>
                  </w:r>
                </w:p>
              </w:tc>
              <w:tc>
                <w:tcPr>
                  <w:tcW w:type="dxa" w:w="22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响应情况（只允许填写</w:t>
                  </w:r>
                  <w:r>
                    <w:rPr>
                      <w:sz w:val="24"/>
                      <w:b/>
                    </w:rPr>
                    <w:t>:“承诺”或“不承诺”）</w:t>
                  </w: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粮食加工品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食用油、油脂及其制品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调味品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肉制品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乳制品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饮料</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方便食品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饼干</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罐头</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冷冻饮品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速冻食品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薯类和膨化食品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糖果制品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茶叶及相关制品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酒类</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蔬菜制品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水果制品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炒货食品及坚果制品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蛋制品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可可及焙烤咖啡食品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食糖</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水产制品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淀粉及淀粉制品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糕点</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豆制品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蜂产品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特殊膳食食品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餐饮食品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食品添加剂</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畜禽肉及副产品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蔬菜</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水产品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水果类</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鲜蛋</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豆类</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生干坚果与籽类食品和食用油</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bl>
          <w:p>
            <w:pPr>
              <w:pStyle w:val="null3"/>
              <w:jc w:val="both"/>
            </w:pPr>
            <w:r>
              <w:rPr>
                <w:sz w:val="24"/>
              </w:rPr>
              <w:t>注：</w:t>
            </w:r>
          </w:p>
          <w:p>
            <w:pPr>
              <w:pStyle w:val="null3"/>
              <w:jc w:val="both"/>
            </w:pPr>
            <w:r>
              <w:rPr>
                <w:sz w:val="24"/>
              </w:rPr>
              <w:t>1、中标人以投标文件提供的完整《资质认定证书及附表》和《检验类别响应表》作为承检能力的依据，若中标人与承诺的情况不符，采购人有权终止合同并追究其法律责任。</w:t>
            </w:r>
          </w:p>
          <w:p>
            <w:pPr>
              <w:pStyle w:val="null3"/>
              <w:jc w:val="both"/>
            </w:pPr>
            <w:r>
              <w:rPr>
                <w:sz w:val="24"/>
              </w:rPr>
              <w:t>2、投标人只允许填写:“承诺”或“不承诺”。如投标人填写不符合要求，填写的单项响应情况视为“不承诺”。</w:t>
            </w:r>
          </w:p>
          <w:p>
            <w:pPr>
              <w:pStyle w:val="null3"/>
              <w:jc w:val="both"/>
            </w:pPr>
            <w:r>
              <w:rPr>
                <w:sz w:val="24"/>
              </w:rPr>
              <w:t>投标人名称（</w:t>
            </w:r>
            <w:r>
              <w:rPr>
                <w:sz w:val="24"/>
              </w:rPr>
              <w:t>单位盖</w:t>
            </w:r>
            <w:r>
              <w:rPr>
                <w:sz w:val="24"/>
              </w:rPr>
              <w:t>公章）：</w:t>
            </w:r>
          </w:p>
          <w:p>
            <w:pPr>
              <w:pStyle w:val="null3"/>
              <w:jc w:val="both"/>
            </w:pPr>
            <w:r>
              <w:rPr>
                <w:sz w:val="24"/>
              </w:rPr>
              <w:t>日期：</w:t>
            </w:r>
          </w:p>
        </w:tc>
      </w:tr>
      <w:tr>
        <w:tc>
          <w:tcPr>
            <w:tcW w:type="dxa" w:w="2076"/>
          </w:tcPr>
          <w:p/>
        </w:tc>
        <w:tc>
          <w:tcPr>
            <w:tcW w:type="dxa" w:w="415"/>
          </w:tcPr>
          <w:p>
            <w:pPr>
              <w:pStyle w:val="null3"/>
            </w:pPr>
            <w:r>
              <w:rPr/>
              <w:t>9</w:t>
            </w:r>
          </w:p>
        </w:tc>
        <w:tc>
          <w:tcPr>
            <w:tcW w:type="dxa" w:w="5814"/>
          </w:tcPr>
          <w:p>
            <w:pPr>
              <w:pStyle w:val="null3"/>
              <w:jc w:val="left"/>
            </w:pPr>
            <w:r>
              <w:rPr>
                <w:sz w:val="24"/>
                <w:b/>
              </w:rPr>
              <w:t>附件二：</w:t>
            </w:r>
          </w:p>
          <w:p>
            <w:pPr>
              <w:pStyle w:val="null3"/>
              <w:jc w:val="center"/>
            </w:pPr>
            <w:r>
              <w:rPr>
                <w:sz w:val="30"/>
                <w:b/>
              </w:rPr>
              <w:t>检验项目响应表</w:t>
            </w:r>
          </w:p>
          <w:p>
            <w:pPr>
              <w:pStyle w:val="null3"/>
              <w:jc w:val="both"/>
            </w:pPr>
            <w:r>
              <w:rPr>
                <w:sz w:val="24"/>
              </w:rPr>
              <w:t>项目名称：</w:t>
            </w:r>
            <w:r>
              <w:rPr>
                <w:sz w:val="21"/>
                <w:u w:val="single"/>
              </w:rPr>
              <w:t xml:space="preserve">                   </w:t>
            </w:r>
          </w:p>
          <w:p>
            <w:pPr>
              <w:pStyle w:val="null3"/>
              <w:jc w:val="both"/>
            </w:pPr>
            <w:r>
              <w:rPr>
                <w:sz w:val="24"/>
              </w:rPr>
              <w:t>项目编号：</w:t>
            </w:r>
            <w:r>
              <w:rPr>
                <w:sz w:val="21"/>
                <w:u w:val="single"/>
              </w:rPr>
              <w:t xml:space="preserve">                   </w:t>
            </w:r>
          </w:p>
          <w:p>
            <w:pPr>
              <w:pStyle w:val="null3"/>
              <w:jc w:val="both"/>
            </w:pPr>
            <w:r>
              <w:rPr>
                <w:sz w:val="24"/>
              </w:rPr>
              <w:t>采购包</w:t>
            </w:r>
            <w:r>
              <w:rPr>
                <w:sz w:val="24"/>
              </w:rPr>
              <w:t>号：</w:t>
            </w:r>
            <w:r>
              <w:rPr>
                <w:sz w:val="21"/>
                <w:u w:val="single"/>
              </w:rPr>
              <w:t xml:space="preserve">                   </w:t>
            </w:r>
          </w:p>
          <w:p>
            <w:pPr>
              <w:pStyle w:val="null3"/>
            </w:pPr>
            <w:r>
              <w:rPr>
                <w:sz w:val="24"/>
              </w:rPr>
              <w:t>CMA</w:t>
            </w:r>
            <w:r>
              <w:rPr>
                <w:sz w:val="24"/>
              </w:rPr>
              <w:t>附表对《国家食品安全监督抽检实施细则》（</w:t>
            </w:r>
            <w:r>
              <w:rPr>
                <w:sz w:val="24"/>
              </w:rPr>
              <w:t>202</w:t>
            </w:r>
            <w:r>
              <w:rPr>
                <w:sz w:val="24"/>
              </w:rPr>
              <w:t>4</w:t>
            </w:r>
            <w:r>
              <w:rPr>
                <w:sz w:val="24"/>
              </w:rPr>
              <w:t>年版）覆盖</w:t>
            </w:r>
            <w:r>
              <w:rPr>
                <w:sz w:val="24"/>
              </w:rPr>
              <w:t>率为</w:t>
            </w:r>
            <w:r>
              <w:rPr>
                <w:sz w:val="24"/>
                <w:u w:val="single"/>
              </w:rPr>
              <w:t xml:space="preserve">     </w:t>
            </w:r>
            <w:r>
              <w:rPr>
                <w:sz w:val="24"/>
                <w:u w:val="single"/>
              </w:rPr>
              <w:t>%</w:t>
            </w:r>
          </w:p>
          <w:tbl>
            <w:tblPr>
              <w:tblInd w:type="dxa" w:w="120"/>
              <w:tblBorders>
                <w:top w:val="none" w:color="000000" w:sz="4"/>
                <w:left w:val="none" w:color="000000" w:sz="4"/>
                <w:bottom w:val="none" w:color="000000" w:sz="4"/>
                <w:right w:val="none" w:color="000000" w:sz="4"/>
                <w:insideH w:val="none"/>
                <w:insideV w:val="none"/>
              </w:tblBorders>
            </w:tblPr>
            <w:tblGrid>
              <w:gridCol w:w="650"/>
              <w:gridCol w:w="575"/>
              <w:gridCol w:w="671"/>
              <w:gridCol w:w="639"/>
              <w:gridCol w:w="597"/>
              <w:gridCol w:w="757"/>
              <w:gridCol w:w="405"/>
              <w:gridCol w:w="586"/>
              <w:gridCol w:w="661"/>
            </w:tblGrid>
            <w:tr>
              <w:tc>
                <w:tcPr>
                  <w:tcW w:type="dxa" w:w="5541"/>
                  <w:gridSpan w:val="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检验项目</w:t>
                  </w:r>
                  <w:r>
                    <w:rPr>
                      <w:sz w:val="24"/>
                      <w:b/>
                    </w:rPr>
                    <w:t>响应表</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75"/>
                    <w:jc w:val="center"/>
                  </w:pPr>
                  <w:r>
                    <w:rPr>
                      <w:sz w:val="24"/>
                      <w:b/>
                    </w:rPr>
                    <w:t>序号</w:t>
                  </w:r>
                </w:p>
              </w:tc>
              <w:tc>
                <w:tcPr>
                  <w:tcW w:type="dxa" w:w="5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食品大类（一级）</w:t>
                  </w:r>
                </w:p>
              </w:tc>
              <w:tc>
                <w:tcPr>
                  <w:tcW w:type="dxa" w:w="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食品亚类（二级）</w:t>
                  </w:r>
                </w:p>
              </w:tc>
              <w:tc>
                <w:tcPr>
                  <w:tcW w:type="dxa" w:w="6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食品品种（三级）</w:t>
                  </w:r>
                </w:p>
              </w:tc>
              <w:tc>
                <w:tcPr>
                  <w:tcW w:type="dxa" w:w="5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食品细类（一级）</w:t>
                  </w:r>
                </w:p>
              </w:tc>
              <w:tc>
                <w:tcPr>
                  <w:tcW w:type="dxa" w:w="7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检验项目</w:t>
                  </w:r>
                </w:p>
              </w:tc>
              <w:tc>
                <w:tcPr>
                  <w:tcW w:type="dxa" w:w="4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是否响应</w:t>
                  </w:r>
                </w:p>
              </w:tc>
              <w:tc>
                <w:tcPr>
                  <w:tcW w:type="dxa" w:w="5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CMA资质附表</w:t>
                  </w:r>
                  <w:r>
                    <w:rPr>
                      <w:sz w:val="24"/>
                      <w:b/>
                    </w:rPr>
                    <w:t>页码</w:t>
                  </w:r>
                </w:p>
              </w:tc>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CMA资质附表</w:t>
                  </w:r>
                  <w:r>
                    <w:rPr>
                      <w:sz w:val="24"/>
                      <w:b/>
                    </w:rPr>
                    <w:t>序号</w:t>
                  </w:r>
                </w:p>
              </w:tc>
            </w:tr>
            <w:tr>
              <w:tc>
                <w:tcPr>
                  <w:tcW w:type="dxa" w:w="6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75"/>
                    <w:jc w:val="center"/>
                  </w:pPr>
                  <w:r>
                    <w:rPr>
                      <w:sz w:val="24"/>
                    </w:rPr>
                    <w:t>1</w:t>
                  </w:r>
                </w:p>
              </w:tc>
              <w:tc>
                <w:tcPr>
                  <w:tcW w:type="dxa" w:w="5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粮食加工品</w:t>
                  </w:r>
                </w:p>
              </w:tc>
              <w:tc>
                <w:tcPr>
                  <w:tcW w:type="dxa" w:w="6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大米</w:t>
                  </w:r>
                </w:p>
              </w:tc>
              <w:tc>
                <w:tcPr>
                  <w:tcW w:type="dxa" w:w="6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大米</w:t>
                  </w:r>
                </w:p>
              </w:tc>
              <w:tc>
                <w:tcPr>
                  <w:tcW w:type="dxa" w:w="5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大米</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铅（以</w:t>
                  </w:r>
                  <w:r>
                    <w:rPr>
                      <w:sz w:val="24"/>
                    </w:rPr>
                    <w:t>Pb计</w:t>
                  </w:r>
                  <w:r>
                    <w:rPr>
                      <w:sz w:val="24"/>
                    </w:rPr>
                    <w:t>）</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50"/>
                  <w:vMerge/>
                  <w:tcBorders>
                    <w:top w:val="none" w:color="000000" w:sz="4"/>
                    <w:left w:val="single" w:color="000000" w:sz="4"/>
                    <w:bottom w:val="single" w:color="000000" w:sz="4"/>
                    <w:right w:val="single" w:color="000000" w:sz="4"/>
                  </w:tcBorders>
                </w:tcPr>
                <w:p/>
              </w:tc>
              <w:tc>
                <w:tcPr>
                  <w:tcW w:type="dxa" w:w="575"/>
                  <w:vMerge/>
                  <w:tcBorders>
                    <w:top w:val="none" w:color="000000" w:sz="4"/>
                    <w:left w:val="single" w:color="000000" w:sz="4"/>
                    <w:bottom w:val="single" w:color="000000" w:sz="4"/>
                    <w:right w:val="single" w:color="000000" w:sz="4"/>
                  </w:tcBorders>
                </w:tcPr>
                <w:p/>
              </w:tc>
              <w:tc>
                <w:tcPr>
                  <w:tcW w:type="dxa" w:w="671"/>
                  <w:vMerge/>
                  <w:tcBorders>
                    <w:top w:val="none" w:color="000000" w:sz="4"/>
                    <w:left w:val="single" w:color="000000" w:sz="4"/>
                    <w:bottom w:val="single" w:color="000000" w:sz="4"/>
                    <w:right w:val="single" w:color="000000" w:sz="4"/>
                  </w:tcBorders>
                </w:tcPr>
                <w:p/>
              </w:tc>
              <w:tc>
                <w:tcPr>
                  <w:tcW w:type="dxa" w:w="639"/>
                  <w:vMerge/>
                  <w:tcBorders>
                    <w:top w:val="none" w:color="000000" w:sz="4"/>
                    <w:left w:val="single" w:color="000000" w:sz="4"/>
                    <w:bottom w:val="single" w:color="000000" w:sz="4"/>
                    <w:right w:val="single" w:color="000000" w:sz="4"/>
                  </w:tcBorders>
                </w:tcPr>
                <w:p/>
              </w:tc>
              <w:tc>
                <w:tcPr>
                  <w:tcW w:type="dxa" w:w="597"/>
                  <w:vMerge/>
                  <w:tcBorders>
                    <w:top w:val="none" w:color="000000" w:sz="4"/>
                    <w:left w:val="single" w:color="000000" w:sz="4"/>
                    <w:bottom w:val="single" w:color="000000" w:sz="4"/>
                    <w:right w:val="single" w:color="000000" w:sz="4"/>
                  </w:tcBorders>
                </w:tcP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镉（以</w:t>
                  </w:r>
                  <w:r>
                    <w:rPr>
                      <w:sz w:val="24"/>
                    </w:rPr>
                    <w:t>Cd计</w:t>
                  </w:r>
                  <w:r>
                    <w:rPr>
                      <w:sz w:val="24"/>
                    </w:rPr>
                    <w:t>）</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50"/>
                  <w:vMerge/>
                  <w:tcBorders>
                    <w:top w:val="none" w:color="000000" w:sz="4"/>
                    <w:left w:val="single" w:color="000000" w:sz="4"/>
                    <w:bottom w:val="single" w:color="000000" w:sz="4"/>
                    <w:right w:val="single" w:color="000000" w:sz="4"/>
                  </w:tcBorders>
                </w:tcPr>
                <w:p/>
              </w:tc>
              <w:tc>
                <w:tcPr>
                  <w:tcW w:type="dxa" w:w="575"/>
                  <w:vMerge/>
                  <w:tcBorders>
                    <w:top w:val="none" w:color="000000" w:sz="4"/>
                    <w:left w:val="single" w:color="000000" w:sz="4"/>
                    <w:bottom w:val="single" w:color="000000" w:sz="4"/>
                    <w:right w:val="single" w:color="000000" w:sz="4"/>
                  </w:tcBorders>
                </w:tcPr>
                <w:p/>
              </w:tc>
              <w:tc>
                <w:tcPr>
                  <w:tcW w:type="dxa" w:w="671"/>
                  <w:vMerge/>
                  <w:tcBorders>
                    <w:top w:val="none" w:color="000000" w:sz="4"/>
                    <w:left w:val="single" w:color="000000" w:sz="4"/>
                    <w:bottom w:val="single" w:color="000000" w:sz="4"/>
                    <w:right w:val="single" w:color="000000" w:sz="4"/>
                  </w:tcBorders>
                </w:tcPr>
                <w:p/>
              </w:tc>
              <w:tc>
                <w:tcPr>
                  <w:tcW w:type="dxa" w:w="639"/>
                  <w:vMerge/>
                  <w:tcBorders>
                    <w:top w:val="none" w:color="000000" w:sz="4"/>
                    <w:left w:val="single" w:color="000000" w:sz="4"/>
                    <w:bottom w:val="single" w:color="000000" w:sz="4"/>
                    <w:right w:val="single" w:color="000000" w:sz="4"/>
                  </w:tcBorders>
                </w:tcPr>
                <w:p/>
              </w:tc>
              <w:tc>
                <w:tcPr>
                  <w:tcW w:type="dxa" w:w="597"/>
                  <w:vMerge/>
                  <w:tcBorders>
                    <w:top w:val="none" w:color="000000" w:sz="4"/>
                    <w:left w:val="single" w:color="000000" w:sz="4"/>
                    <w:bottom w:val="single" w:color="000000" w:sz="4"/>
                    <w:right w:val="single" w:color="000000" w:sz="4"/>
                  </w:tcBorders>
                </w:tcP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B1</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rPr>
              <w:t>《关于填写检验项目响应表的有关说明》：投标人填写《检验项目响应表》时，应说明每个检测项目所在</w:t>
            </w:r>
            <w:r>
              <w:rPr>
                <w:sz w:val="24"/>
                <w:b/>
              </w:rPr>
              <w:t>CMA</w:t>
            </w:r>
            <w:r>
              <w:rPr>
                <w:sz w:val="24"/>
                <w:b/>
              </w:rPr>
              <w:t>后附表中对应的页码和序号，不得仅指向认证的产品标准：</w:t>
            </w:r>
          </w:p>
          <w:p>
            <w:pPr>
              <w:pStyle w:val="null3"/>
              <w:jc w:val="both"/>
            </w:pPr>
            <w:r>
              <w:rPr>
                <w:sz w:val="24"/>
              </w:rPr>
              <w:t>投标人法定代表人（或法定代表人授权代表）签字：</w:t>
            </w:r>
            <w:r>
              <w:rPr>
                <w:sz w:val="21"/>
                <w:u w:val="single"/>
              </w:rPr>
              <w:t xml:space="preserve">                   </w:t>
            </w:r>
          </w:p>
          <w:p>
            <w:pPr>
              <w:pStyle w:val="null3"/>
              <w:ind w:left="210"/>
              <w:jc w:val="both"/>
            </w:pPr>
            <w:r>
              <w:rPr>
                <w:sz w:val="24"/>
              </w:rPr>
              <w:t>投标人名称（盖公章）：</w:t>
            </w:r>
            <w:r>
              <w:rPr>
                <w:sz w:val="21"/>
                <w:u w:val="single"/>
              </w:rPr>
              <w:t xml:space="preserve">                     </w:t>
            </w:r>
            <w:r>
              <w:rPr>
                <w:sz w:val="21"/>
              </w:rPr>
              <w:t xml:space="preserve">   </w:t>
            </w:r>
          </w:p>
          <w:p>
            <w:pPr>
              <w:pStyle w:val="null3"/>
              <w:jc w:val="both"/>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采购包3（食用农产品、生产（小作坊）环节食品抽检）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合同签订之日起至2025年12月31日。具体时间以所签订的合同约定时间为准。</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第1期为(预付款)：支付比例50%，采购人与中标人签订合同且收到发票后30日内，向中标人支付所承接采购包预算的50%作为预付款。</w:t>
            </w:r>
          </w:p>
          <w:p>
            <w:pPr>
              <w:pStyle w:val="null3"/>
            </w:pPr>
            <w:r>
              <w:rPr/>
              <w:t>第2期为(进度款)：支付比例40%，待项目任务完成50%后，且在收到中标人提供的发票后30日内，向中标人支付所承接采购包预算的40%进度款。</w:t>
            </w:r>
          </w:p>
          <w:p>
            <w:pPr>
              <w:pStyle w:val="null3"/>
            </w:pPr>
            <w:r>
              <w:rPr/>
              <w:t>第3期为(尾款)：支付比例10%，按照市财政资金使用管理规定有关年度资金支出时限要求，在收到中标人提供的发票及抽样明细等必要材料后30日内，采购人支付合同剩余款项。 注：中标人凭以下有效文件与采购人结算：（1）采购合同；（2）中标通知书；（3）中标人开具的正式发票；（4）完成抽检情况说明、食品抽检明细表。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食品检验由食品检验机构指定的检验人独立进行；检验人应当依照有关法律、法规的规定，并依照食品安全标准和检验规范对食品进行检验，保证出具的检验数据和结论客观、公正，不得出具虚假的检验报告。项目完成后，采购人按照单位采购管理制度，组织验收小组对各包组完成情况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项目报价及抽检项目的计价</w:t>
            </w:r>
          </w:p>
        </w:tc>
        <w:tc>
          <w:tcPr>
            <w:tcW w:type="dxa" w:w="2076"/>
          </w:tcPr>
          <w:p>
            <w:pPr>
              <w:pStyle w:val="null3"/>
              <w:jc w:val="left"/>
            </w:pPr>
            <w:r>
              <w:rPr/>
              <w:t>1.单项检验项目费用参考《市场监管部门食品安全抽检监测项目检验费用参考表》（市监食检（司）函[2022]133号）为检验项目最高限价；所检项目未在市监食检（司）函[2022]133号文中定价的，以《关于下发新的广东省产品质量监督检验收费标准的通知》(粤价[2002]170号)为检验项目最高限价；所检项目未在上述文件中的，以中标人报备物价局对外收费标准或向社会公开的收费标准为检验项目最高限价；以上规定不能确定计价的，由双方协商确定。 2.实际单项检验项目检验费=检验项目最高限价×中标折扣率。本项目不接受有选择性的投标报价，否则将按无效投标处理。报价折扣率必须为固定报价，不接受区间报价(如50%～55%)。如报价折扣率为55%，则实际结算金额=∑（食品检验项目费用参考金额最高限价×55%）。投标报价如为区间报价或超出报价范围将视为无效报价。 3.折扣后某批次检测费用（元）=折扣后该批次全部检测项目检验费用之和。食品检测费用，包含所有服务内容的费用，包括人工费、劳保费、保险费、材料费、检验费、车辆使用费、设备使用费、各种税务费、必须的辅助材料费及合同实施过程中不可预见费用等全部费用（另有约定的除外）。 4.食品样品购买费，依据《中华人民共和国食品安全法》向被抽样单位支付样品购买费，此样品购买费由采购人承担。采购人按照中标人在采样时支付给被抽样单位的样品费（不得高于市场价）据实报销。 5.食品抽检服务费结算价（人民币，元）=食品样品购买费与折扣后全部批次检测费用之和。本项目各包组预算包括但不限于购样费、检验费等完成本项目所需所有费用。完成各包组任务总结算金额不高于各包组预算，采购人不再另行支付其他费用。</w:t>
            </w:r>
          </w:p>
        </w:tc>
      </w:tr>
      <w:tr>
        <w:tc>
          <w:tcPr>
            <w:tcW w:type="dxa" w:w="2076"/>
          </w:tcPr>
          <w:p/>
        </w:tc>
        <w:tc>
          <w:tcPr>
            <w:tcW w:type="dxa" w:w="2076"/>
          </w:tcPr>
          <w:p>
            <w:pPr>
              <w:pStyle w:val="null3"/>
              <w:jc w:val="center"/>
            </w:pPr>
            <w:r>
              <w:rPr/>
              <w:t>2</w:t>
            </w:r>
          </w:p>
        </w:tc>
        <w:tc>
          <w:tcPr>
            <w:tcW w:type="dxa" w:w="2076"/>
          </w:tcPr>
          <w:p>
            <w:pPr>
              <w:pStyle w:val="null3"/>
              <w:jc w:val="left"/>
            </w:pPr>
            <w:r>
              <w:rPr/>
              <w:t>项目基本要求</w:t>
            </w:r>
          </w:p>
        </w:tc>
        <w:tc>
          <w:tcPr>
            <w:tcW w:type="dxa" w:w="2076"/>
          </w:tcPr>
          <w:p>
            <w:pPr>
              <w:pStyle w:val="null3"/>
              <w:jc w:val="left"/>
            </w:pPr>
            <w:r>
              <w:rPr/>
              <w:t>1.服务范围：为贯彻落实省民生实事食品抽检千人6.5批次任务，根据《中华人民共和国食品安全法》和省、市食品抽检部署，完成省转移韶关市食品抽检任务，韶关市市场监督管理局拟对2025年韶关市市级食品安全抽检服务项目进行公开招标。本包组选定1家食品检验机构作为采购人食品安全抽检任务的有效补充，进一步提升采购人食品安全抽检工作的技术支撑能力。各包组投标人应能使用“国家食品安全抽样检验信息系统”APP在线抽样并出具电子版检验报告。各包组投标人完成相应包组的承检任务，如在服务期内，采购人需下达紧急检验任务时，中标人应无条件配合采购人工作。 2.服务要求：根据采购人的工作需求，中标人可以派驻联络员到采购人处，集中开展抽检相关工作。 3.服务时间：根据采购人的工作要求及相关规范、标准，在规定时间内完成承检工作。 4.服务标准：一般要求自收到样品之日起20个工作日内出具检验报告，应急抽检应根据工作需要加快检验速度，如因特殊情况需延长检验期限的，可另行约定。</w:t>
            </w:r>
          </w:p>
        </w:tc>
      </w:tr>
      <w:tr>
        <w:tc>
          <w:tcPr>
            <w:tcW w:type="dxa" w:w="2076"/>
          </w:tcPr>
          <w:p/>
        </w:tc>
        <w:tc>
          <w:tcPr>
            <w:tcW w:type="dxa" w:w="2076"/>
          </w:tcPr>
          <w:p>
            <w:pPr>
              <w:pStyle w:val="null3"/>
              <w:jc w:val="center"/>
            </w:pPr>
            <w:r>
              <w:rPr/>
              <w:t>3</w:t>
            </w:r>
          </w:p>
        </w:tc>
        <w:tc>
          <w:tcPr>
            <w:tcW w:type="dxa" w:w="2076"/>
          </w:tcPr>
          <w:p>
            <w:pPr>
              <w:pStyle w:val="null3"/>
              <w:jc w:val="left"/>
            </w:pPr>
            <w:r>
              <w:rPr/>
              <w:t>违约责任</w:t>
            </w:r>
          </w:p>
        </w:tc>
        <w:tc>
          <w:tcPr>
            <w:tcW w:type="dxa" w:w="2076"/>
          </w:tcPr>
          <w:p>
            <w:pPr>
              <w:pStyle w:val="null3"/>
              <w:jc w:val="left"/>
            </w:pPr>
            <w:r>
              <w:rPr/>
              <w:t>1.由于中标人原因导致合同不能继续执行或者中标人单方面终止合同，中标人将采购人已经支付给中标人的合同款返还给采购人（返还的合同款扣除已经履行义务部分的费用），并承担对采购人的损失。 2.由于政策或采购人需求变化等原因，合同不能继续执行需终止合同的，采购人按照中标人已实际完成并经采购人审核确认的工作量向中标人支付服务费。 3.中标人提供的服务不符合合同约定或采购人要求的，中标人应在采购人规定的时间内予以整改，中标人整改仍不合格或拒不整改的，采购人有权解除合同，且视为是由于中标人原因导致的合同不能继续执行，中标人应按上述违约责任第1点承担违约责任。</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其他商务要求</w:t>
            </w:r>
          </w:p>
        </w:tc>
        <w:tc>
          <w:tcPr>
            <w:tcW w:type="dxa" w:w="2076"/>
          </w:tcPr>
          <w:p>
            <w:pPr>
              <w:pStyle w:val="null3"/>
              <w:jc w:val="left"/>
            </w:pPr>
            <w:r>
              <w:rPr/>
              <w:t>★1.中标人发生事业单位改革或者公司合并、分立等情况，不能以原机构名义履行合同的，拟继续履约的检验机构应及时以书面方式报告采购人、提供相关证明材料，经采购人审查并报有关部门同意后方可继续履约。（提供承诺函） ★2.如果在服务期内，如采购人下达应急、紧急检验任务时，出现需要应急抽检的项目，中标人必须无条件配合采购人的工作要求。（提供承诺函） ★3.未经采购人允许，中标人不得将检验任务分包，且不得将检验任务转包。特殊检验项目确需分包的，需提前向采购人提交书面申请，经采购人事先书面同意后才能分包，中标人须对分包内容的检测结果进行质量控制并就检测报告与分包人一起共同对采购人负责。（提供承诺函） ★4.中标人的检验任务必须由其投标文件中载明的实验室负责检验。投标人拥有多个实验室时，只可自主选择其中一个实验室(以CMA证书地址为准)参与评审，不得综合和累计多个实验室的人员、设备、资质等数据参与评审，亦不得使用非食品检验室的相关资料应标，否则视为无效投标。（提供承诺函） ★5.投标人必须如实提供投标所需证明材料，不得弄虚作假。（提供承诺函） ★6.投标人须以书面承诺函形式承诺：投标人在进行食品抽检时，应按照《中华人民共和国食品安全法》《食品安全抽样检验工作规范》《食用农产品抽样检验和核查处置规定》《国家食品安全监督抽检实施细则》等规定进行抽检工作，自觉接受采购人的监督检查和评议考核工作，不得向被抽检单位收取检验费或其他任何费用，并按《中华人民共和国食品安全法》支付抽取的样品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技术测试和分析服务</w:t>
            </w:r>
          </w:p>
        </w:tc>
        <w:tc>
          <w:tcPr>
            <w:tcW w:type="dxa" w:w="831"/>
          </w:tcPr>
          <w:p>
            <w:pPr>
              <w:pStyle w:val="null3"/>
              <w:jc w:val="left"/>
            </w:pPr>
            <w:r>
              <w:rPr/>
              <w:t>食用农产品、生产（小作坊）环节食品抽检</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840,000.00</w:t>
            </w:r>
          </w:p>
        </w:tc>
        <w:tc>
          <w:tcPr>
            <w:tcW w:type="dxa" w:w="831"/>
          </w:tcPr>
          <w:p>
            <w:pPr>
              <w:pStyle w:val="null3"/>
              <w:jc w:val="right"/>
            </w:pPr>
            <w:r>
              <w:rPr/>
              <w:t>840,000.00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食用农产品、生产（小作坊）环节食品抽检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left"/>
            </w:pPr>
            <w:r>
              <w:rPr>
                <w:sz w:val="24"/>
              </w:rPr>
              <w:t>★</w:t>
            </w:r>
            <w:r>
              <w:rPr>
                <w:sz w:val="24"/>
                <w:b/>
              </w:rPr>
              <w:t>（一）承检能力</w:t>
            </w:r>
          </w:p>
          <w:p>
            <w:pPr>
              <w:pStyle w:val="null3"/>
              <w:jc w:val="both"/>
            </w:pPr>
            <w:r>
              <w:rPr>
                <w:sz w:val="24"/>
              </w:rPr>
              <w:t>投标人或其实验室必须能够承检所投采购包承检的食品类别。【检验项目参照国家食品安全监督抽检实施细则</w:t>
            </w:r>
            <w:r>
              <w:rPr>
                <w:sz w:val="24"/>
              </w:rPr>
              <w:t>(202</w:t>
            </w:r>
            <w:r>
              <w:rPr>
                <w:sz w:val="24"/>
              </w:rPr>
              <w:t>4</w:t>
            </w:r>
            <w:r>
              <w:rPr>
                <w:sz w:val="24"/>
              </w:rPr>
              <w:t>年版</w:t>
            </w:r>
            <w:r>
              <w:rPr>
                <w:sz w:val="24"/>
              </w:rPr>
              <w:t>)，投标人应提供检验检测机构资质认定证书及完整附表（CMA）复印件并如实填写《检验类别响应表》（附件一），以上材料均需加盖投标人公章。不满足要求，视为无效投标。】。</w:t>
            </w:r>
          </w:p>
        </w:tc>
      </w:tr>
      <w:tr>
        <w:tc>
          <w:tcPr>
            <w:tcW w:type="dxa" w:w="2076"/>
          </w:tcPr>
          <w:p>
            <w:pPr>
              <w:pStyle w:val="null3"/>
            </w:pPr>
            <w:r>
              <w:rPr/>
              <w:t>★</w:t>
            </w:r>
          </w:p>
        </w:tc>
        <w:tc>
          <w:tcPr>
            <w:tcW w:type="dxa" w:w="415"/>
          </w:tcPr>
          <w:p>
            <w:pPr>
              <w:pStyle w:val="null3"/>
            </w:pPr>
            <w:r>
              <w:rPr/>
              <w:t>2</w:t>
            </w:r>
          </w:p>
        </w:tc>
        <w:tc>
          <w:tcPr>
            <w:tcW w:type="dxa" w:w="5814"/>
          </w:tcPr>
          <w:p>
            <w:pPr>
              <w:pStyle w:val="null3"/>
              <w:jc w:val="left"/>
            </w:pPr>
            <w:r>
              <w:rPr>
                <w:sz w:val="24"/>
              </w:rPr>
              <w:t>★</w:t>
            </w:r>
            <w:r>
              <w:rPr>
                <w:sz w:val="24"/>
                <w:b/>
              </w:rPr>
              <w:t>（二）抽检工作的实施</w:t>
            </w:r>
          </w:p>
          <w:p>
            <w:pPr>
              <w:pStyle w:val="null3"/>
              <w:jc w:val="both"/>
            </w:pPr>
            <w:r>
              <w:rPr>
                <w:sz w:val="24"/>
              </w:rPr>
              <w:t>投标人应能使用</w:t>
            </w:r>
            <w:r>
              <w:rPr>
                <w:sz w:val="24"/>
              </w:rPr>
              <w:t>“国家食品安全抽样检验信息系统”抽样APP在线抽样以及出具电子版检验报告。严格按照时限要求将抽样检验信息录入“国家食品安全抽样检验信息系统”。（提供承诺函）</w:t>
            </w:r>
          </w:p>
        </w:tc>
      </w:tr>
      <w:tr>
        <w:tc>
          <w:tcPr>
            <w:tcW w:type="dxa" w:w="2076"/>
          </w:tcPr>
          <w:p/>
        </w:tc>
        <w:tc>
          <w:tcPr>
            <w:tcW w:type="dxa" w:w="415"/>
          </w:tcPr>
          <w:p>
            <w:pPr>
              <w:pStyle w:val="null3"/>
            </w:pPr>
            <w:r>
              <w:rPr/>
              <w:t>3</w:t>
            </w:r>
          </w:p>
        </w:tc>
        <w:tc>
          <w:tcPr>
            <w:tcW w:type="dxa" w:w="5814"/>
          </w:tcPr>
          <w:p>
            <w:pPr>
              <w:pStyle w:val="null3"/>
              <w:jc w:val="left"/>
            </w:pPr>
            <w:r>
              <w:rPr>
                <w:sz w:val="24"/>
                <w:b/>
              </w:rPr>
              <w:t>（三）抽样工作的实施</w:t>
            </w:r>
          </w:p>
          <w:p>
            <w:pPr>
              <w:pStyle w:val="null3"/>
              <w:jc w:val="left"/>
            </w:pPr>
            <w:r>
              <w:rPr>
                <w:sz w:val="24"/>
              </w:rPr>
              <w:t>1.服务时间：自合同签订之日起至</w:t>
            </w:r>
            <w:r>
              <w:rPr>
                <w:sz w:val="24"/>
              </w:rPr>
              <w:t>2025年12月31日</w:t>
            </w:r>
            <w:r>
              <w:rPr>
                <w:sz w:val="24"/>
              </w:rPr>
              <w:t>，具体时间以所签订的合同约定时间为准。</w:t>
            </w:r>
          </w:p>
          <w:p>
            <w:pPr>
              <w:pStyle w:val="null3"/>
              <w:jc w:val="left"/>
            </w:pPr>
            <w:r>
              <w:rPr>
                <w:sz w:val="24"/>
              </w:rPr>
              <w:t>2.抽检对象：韶关市内的生产(小作坊)、餐饮、销售环节、农贸市场等食品生产经营单位。</w:t>
            </w:r>
          </w:p>
          <w:p>
            <w:pPr>
              <w:pStyle w:val="null3"/>
              <w:jc w:val="left"/>
            </w:pPr>
            <w:r>
              <w:rPr>
                <w:sz w:val="24"/>
              </w:rPr>
              <w:t>3.抽样单位：采购人依法委托中标人实施抽样。食品安全监督管理部门根据工作需要可以派员抽样或者监督</w:t>
            </w:r>
            <w:r>
              <w:rPr>
                <w:sz w:val="24"/>
              </w:rPr>
              <w:t>中标人</w:t>
            </w:r>
            <w:r>
              <w:rPr>
                <w:sz w:val="24"/>
              </w:rPr>
              <w:t>的抽样。</w:t>
            </w:r>
          </w:p>
          <w:p>
            <w:pPr>
              <w:pStyle w:val="null3"/>
              <w:jc w:val="left"/>
            </w:pPr>
            <w:r>
              <w:rPr>
                <w:sz w:val="24"/>
              </w:rPr>
              <w:t>4.抽检人员：</w:t>
            </w:r>
          </w:p>
          <w:p>
            <w:pPr>
              <w:pStyle w:val="null3"/>
              <w:jc w:val="left"/>
            </w:pPr>
            <w:r>
              <w:rPr>
                <w:sz w:val="24"/>
              </w:rPr>
              <w:t>（</w:t>
            </w:r>
            <w:r>
              <w:rPr>
                <w:sz w:val="24"/>
              </w:rPr>
              <w:t>1）中标人应有充足的抽样</w:t>
            </w:r>
            <w:r>
              <w:rPr>
                <w:sz w:val="24"/>
              </w:rPr>
              <w:t>、</w:t>
            </w:r>
            <w:r>
              <w:rPr>
                <w:sz w:val="24"/>
              </w:rPr>
              <w:t>检验人员</w:t>
            </w:r>
            <w:r>
              <w:rPr>
                <w:sz w:val="24"/>
              </w:rPr>
              <w:t>，</w:t>
            </w:r>
            <w:r>
              <w:rPr>
                <w:sz w:val="24"/>
              </w:rPr>
              <w:t>保障抽检进度</w:t>
            </w:r>
            <w:r>
              <w:rPr>
                <w:sz w:val="24"/>
              </w:rPr>
              <w:t>，</w:t>
            </w:r>
            <w:r>
              <w:rPr>
                <w:sz w:val="24"/>
              </w:rPr>
              <w:t>并具备履行合同所需专业技术能力，</w:t>
            </w:r>
            <w:r>
              <w:rPr>
                <w:sz w:val="24"/>
              </w:rPr>
              <w:t>以满足采购人日常抽检和案件稽查、事故调查、应急处置等抽检需求。</w:t>
            </w:r>
          </w:p>
          <w:p>
            <w:pPr>
              <w:pStyle w:val="null3"/>
              <w:jc w:val="left"/>
            </w:pPr>
            <w:r>
              <w:rPr>
                <w:sz w:val="24"/>
              </w:rPr>
              <w:t>（</w:t>
            </w:r>
            <w:r>
              <w:rPr>
                <w:sz w:val="24"/>
              </w:rPr>
              <w:t>2）抽样和检验要分离。即对某一食品的抽检，中标人派出的抽样人员与检验人员不得为同一人。</w:t>
            </w:r>
          </w:p>
          <w:p>
            <w:pPr>
              <w:pStyle w:val="null3"/>
              <w:jc w:val="left"/>
            </w:pPr>
            <w:r>
              <w:rPr>
                <w:sz w:val="24"/>
              </w:rPr>
              <w:t>5.交通工具：</w:t>
            </w:r>
            <w:r>
              <w:rPr>
                <w:sz w:val="24"/>
              </w:rPr>
              <w:t>中标人</w:t>
            </w:r>
            <w:r>
              <w:rPr>
                <w:sz w:val="24"/>
              </w:rPr>
              <w:t>负责。中标人负责每次检验样品的运送，并具有保存样品的能力，确保样品安全。</w:t>
            </w:r>
          </w:p>
          <w:p>
            <w:pPr>
              <w:pStyle w:val="null3"/>
              <w:jc w:val="left"/>
            </w:pPr>
            <w:r>
              <w:rPr>
                <w:sz w:val="24"/>
              </w:rPr>
              <w:t>6.抽检任务：</w:t>
            </w:r>
          </w:p>
          <w:p>
            <w:pPr>
              <w:pStyle w:val="null3"/>
              <w:jc w:val="left"/>
            </w:pPr>
            <w:r>
              <w:rPr>
                <w:sz w:val="24"/>
              </w:rPr>
              <w:t>（</w:t>
            </w:r>
            <w:r>
              <w:rPr>
                <w:sz w:val="24"/>
              </w:rPr>
              <w:t>1</w:t>
            </w:r>
            <w:r>
              <w:rPr>
                <w:sz w:val="24"/>
              </w:rPr>
              <w:t>）</w:t>
            </w:r>
            <w:r>
              <w:rPr>
                <w:sz w:val="24"/>
              </w:rPr>
              <w:t>承担项目服务期内各项抽检任务，抽检品种、抽检批次</w:t>
            </w:r>
            <w:r>
              <w:rPr>
                <w:sz w:val="24"/>
              </w:rPr>
              <w:t>，</w:t>
            </w:r>
            <w:r>
              <w:rPr>
                <w:sz w:val="24"/>
              </w:rPr>
              <w:t>“详见（二）项目采购内容清单”。</w:t>
            </w:r>
          </w:p>
          <w:p>
            <w:pPr>
              <w:pStyle w:val="null3"/>
              <w:jc w:val="left"/>
            </w:pPr>
            <w:r>
              <w:rPr>
                <w:sz w:val="24"/>
              </w:rPr>
              <w:t>（</w:t>
            </w:r>
            <w:r>
              <w:rPr>
                <w:sz w:val="24"/>
              </w:rPr>
              <w:t>2</w:t>
            </w:r>
            <w:r>
              <w:rPr>
                <w:sz w:val="24"/>
              </w:rPr>
              <w:t>）中标人应</w:t>
            </w:r>
            <w:r>
              <w:rPr>
                <w:sz w:val="24"/>
              </w:rPr>
              <w:t>按计划和方案</w:t>
            </w:r>
            <w:r>
              <w:rPr>
                <w:sz w:val="24"/>
              </w:rPr>
              <w:t>落实均衡抽检，合理安排月度、季度抽检任务，合理分配不同品种、不同区域、不同规模、不同环节、不同企业的抽检，提升抽检效能。</w:t>
            </w:r>
          </w:p>
          <w:p>
            <w:pPr>
              <w:pStyle w:val="null3"/>
              <w:jc w:val="left"/>
            </w:pPr>
            <w:r>
              <w:rPr>
                <w:sz w:val="24"/>
              </w:rPr>
              <w:t>7.抽检计划：由中标人协助采购人制定具体的项目实施计划</w:t>
            </w:r>
            <w:r>
              <w:rPr>
                <w:sz w:val="24"/>
              </w:rPr>
              <w:t>和方案</w:t>
            </w:r>
            <w:r>
              <w:rPr>
                <w:sz w:val="24"/>
              </w:rPr>
              <w:t>。</w:t>
            </w:r>
          </w:p>
          <w:p>
            <w:pPr>
              <w:pStyle w:val="null3"/>
              <w:jc w:val="left"/>
            </w:pPr>
            <w:r>
              <w:rPr>
                <w:sz w:val="24"/>
              </w:rPr>
              <w:t>8.抽样前准备工作、抽取样品、样品运输、抽样纪律等程序：采购人将根据《中华人民共和国食品安全法》《食品安全抽样检验管理办法》（市场监管总局令第15号）、《市场监管总局办公厅关于印发食品安全抽样检验工作规范的通知》等</w:t>
            </w:r>
            <w:r>
              <w:rPr>
                <w:sz w:val="24"/>
              </w:rPr>
              <w:t>政策法规</w:t>
            </w:r>
            <w:r>
              <w:rPr>
                <w:sz w:val="24"/>
              </w:rPr>
              <w:t>制定具体要求，供</w:t>
            </w:r>
            <w:r>
              <w:rPr>
                <w:sz w:val="24"/>
              </w:rPr>
              <w:t>中标人</w:t>
            </w:r>
            <w:r>
              <w:rPr>
                <w:sz w:val="24"/>
              </w:rPr>
              <w:t>执行。</w:t>
            </w:r>
          </w:p>
          <w:p>
            <w:pPr>
              <w:pStyle w:val="null3"/>
              <w:jc w:val="left"/>
            </w:pPr>
            <w:r>
              <w:rPr>
                <w:sz w:val="24"/>
              </w:rPr>
              <w:t>9.应急抽检要求：</w:t>
            </w:r>
            <w:r>
              <w:rPr>
                <w:sz w:val="24"/>
              </w:rPr>
              <w:t>中标人需在采购人</w:t>
            </w:r>
            <w:r>
              <w:rPr>
                <w:sz w:val="24"/>
              </w:rPr>
              <w:t>规定</w:t>
            </w:r>
            <w:r>
              <w:rPr>
                <w:sz w:val="24"/>
              </w:rPr>
              <w:t>的时间内开展应对食品检测突发事件并</w:t>
            </w:r>
            <w:r>
              <w:rPr>
                <w:sz w:val="24"/>
              </w:rPr>
              <w:t>委</w:t>
            </w:r>
            <w:r>
              <w:rPr>
                <w:sz w:val="24"/>
              </w:rPr>
              <w:t>派检验员提供应急检测服务，并按采购人的要求进行特殊情况抽检和专项抽检，包括突发事件应急抽检、夜间紧急抽检、突击抽检</w:t>
            </w:r>
            <w:r>
              <w:rPr>
                <w:sz w:val="24"/>
              </w:rPr>
              <w:t>、数据上报</w:t>
            </w:r>
            <w:r>
              <w:rPr>
                <w:sz w:val="24"/>
              </w:rPr>
              <w:t>等相关服务内容。</w:t>
            </w:r>
          </w:p>
          <w:p>
            <w:pPr>
              <w:pStyle w:val="null3"/>
              <w:jc w:val="left"/>
            </w:pPr>
            <w:r>
              <w:rPr>
                <w:sz w:val="24"/>
              </w:rPr>
              <w:t>10</w:t>
            </w:r>
            <w:r>
              <w:rPr>
                <w:sz w:val="24"/>
              </w:rPr>
              <w:t>.样品购买、保存和处理：</w:t>
            </w:r>
          </w:p>
          <w:p>
            <w:pPr>
              <w:pStyle w:val="null3"/>
              <w:jc w:val="left"/>
            </w:pPr>
            <w:r>
              <w:rPr>
                <w:sz w:val="24"/>
              </w:rPr>
              <w:t>（</w:t>
            </w:r>
            <w:r>
              <w:rPr>
                <w:sz w:val="24"/>
              </w:rPr>
              <w:t>1）监督抽检的样品应一式两份，分为检验样品和复检备份样品，由中标人支付购样费。</w:t>
            </w:r>
          </w:p>
          <w:p>
            <w:pPr>
              <w:pStyle w:val="null3"/>
              <w:jc w:val="both"/>
            </w:pPr>
            <w:r>
              <w:rPr>
                <w:sz w:val="24"/>
              </w:rPr>
              <w:t>（</w:t>
            </w:r>
            <w:r>
              <w:rPr>
                <w:sz w:val="24"/>
              </w:rPr>
              <w:t>2）中标人依照法律法规要求对样品进行保存。对于保存期满的复检备份样品，由中标人采用合法合理方式进行处理，处理</w:t>
            </w:r>
            <w:r>
              <w:rPr>
                <w:sz w:val="24"/>
              </w:rPr>
              <w:t>情况</w:t>
            </w:r>
            <w:r>
              <w:rPr>
                <w:sz w:val="24"/>
              </w:rPr>
              <w:t>报告采购人，并接受采购人监督。</w:t>
            </w:r>
          </w:p>
        </w:tc>
      </w:tr>
      <w:tr>
        <w:tc>
          <w:tcPr>
            <w:tcW w:type="dxa" w:w="2076"/>
          </w:tcPr>
          <w:p/>
        </w:tc>
        <w:tc>
          <w:tcPr>
            <w:tcW w:type="dxa" w:w="415"/>
          </w:tcPr>
          <w:p>
            <w:pPr>
              <w:pStyle w:val="null3"/>
            </w:pPr>
            <w:r>
              <w:rPr/>
              <w:t>4</w:t>
            </w:r>
          </w:p>
        </w:tc>
        <w:tc>
          <w:tcPr>
            <w:tcW w:type="dxa" w:w="5814"/>
          </w:tcPr>
          <w:p>
            <w:pPr>
              <w:pStyle w:val="null3"/>
              <w:jc w:val="left"/>
            </w:pPr>
            <w:r>
              <w:rPr>
                <w:sz w:val="24"/>
                <w:b/>
              </w:rPr>
              <w:t>（四）检验工作的要求</w:t>
            </w:r>
          </w:p>
          <w:p>
            <w:pPr>
              <w:pStyle w:val="null3"/>
              <w:jc w:val="left"/>
            </w:pPr>
            <w:r>
              <w:rPr>
                <w:sz w:val="24"/>
              </w:rPr>
              <w:t>1.根据采购人的工作需求，中标人应派驻相关专业人员到采购人处，集中开展抽检相关工作。</w:t>
            </w:r>
          </w:p>
          <w:p>
            <w:pPr>
              <w:pStyle w:val="null3"/>
              <w:jc w:val="left"/>
            </w:pPr>
            <w:r>
              <w:rPr>
                <w:sz w:val="24"/>
              </w:rPr>
              <w:t>2</w:t>
            </w:r>
            <w:r>
              <w:rPr>
                <w:sz w:val="24"/>
              </w:rPr>
              <w:t>.食品检验由食品检验机构指定的检验人独立进行。检验人应当依照有关法律、法规的规定，并依照食品安全标准和检验规范对食品进行检验，尊重科学，恪守职业道德，保证出具的检验数据和结论客观、公正，不得出具虚假的检验报告。</w:t>
            </w:r>
          </w:p>
          <w:p>
            <w:pPr>
              <w:pStyle w:val="null3"/>
              <w:jc w:val="left"/>
            </w:pPr>
            <w:r>
              <w:rPr>
                <w:sz w:val="24"/>
              </w:rPr>
              <w:t>3</w:t>
            </w:r>
            <w:r>
              <w:rPr>
                <w:sz w:val="24"/>
              </w:rPr>
              <w:t>.检验时间：一般要求自收到样品之日起20个工作日内出具检验报告，如因特殊情况需延长检验期限的，可另行约定。应节应急抽检、执法抽检等有特殊时限要求的，根据采购人要求加快检验。</w:t>
            </w:r>
          </w:p>
          <w:p>
            <w:pPr>
              <w:pStyle w:val="null3"/>
              <w:jc w:val="left"/>
            </w:pPr>
            <w:r>
              <w:rPr>
                <w:sz w:val="24"/>
              </w:rPr>
              <w:t>4.中标人的检验实验室环境洁净度、设施设备应当符合国家实验室有关管理规定的要求，以保证食品检测中菌落总数、大肠菌群、霉菌等微生物项目的准确度，并具备与项目需求相匹配的检验能力，具有支撑检验任务的检验人员及仪器设备，拥有运行良好的实验室管理体系，能提供清晰、全面的检测分析方案，确保检验结果的准确可靠。</w:t>
            </w:r>
          </w:p>
          <w:p>
            <w:pPr>
              <w:pStyle w:val="null3"/>
              <w:jc w:val="left"/>
            </w:pPr>
            <w:r>
              <w:rPr>
                <w:sz w:val="24"/>
              </w:rPr>
              <w:t>5.检验依据：依照检测样品的国家标准。无国家标准的，可依照地方标准、行业标准，产品明示标准和质量要求，相关的法律法规、部门规章和规定等执行。</w:t>
            </w:r>
          </w:p>
          <w:p>
            <w:pPr>
              <w:pStyle w:val="null3"/>
              <w:jc w:val="left"/>
            </w:pPr>
            <w:r>
              <w:rPr>
                <w:sz w:val="24"/>
              </w:rPr>
              <w:t>6</w:t>
            </w:r>
            <w:r>
              <w:rPr>
                <w:sz w:val="24"/>
              </w:rPr>
              <w:t>.</w:t>
            </w:r>
            <w:r>
              <w:rPr>
                <w:sz w:val="24"/>
              </w:rPr>
              <w:t>围绕监管急需、执法急用、</w:t>
            </w:r>
            <w:r>
              <w:rPr>
                <w:sz w:val="24"/>
              </w:rPr>
              <w:t>基层</w:t>
            </w:r>
            <w:r>
              <w:rPr>
                <w:sz w:val="24"/>
              </w:rPr>
              <w:t>实需，</w:t>
            </w:r>
            <w:r>
              <w:rPr>
                <w:sz w:val="24"/>
              </w:rPr>
              <w:t>中标人应了解行业发展动态，熟悉食品生产工艺</w:t>
            </w:r>
            <w:r>
              <w:rPr>
                <w:sz w:val="24"/>
              </w:rPr>
              <w:t>、</w:t>
            </w:r>
            <w:r>
              <w:rPr>
                <w:sz w:val="24"/>
              </w:rPr>
              <w:t>食品标准等</w:t>
            </w:r>
            <w:r>
              <w:rPr>
                <w:sz w:val="24"/>
              </w:rPr>
              <w:t>，具有</w:t>
            </w:r>
            <w:r>
              <w:rPr>
                <w:sz w:val="24"/>
              </w:rPr>
              <w:t>一定的</w:t>
            </w:r>
            <w:r>
              <w:rPr>
                <w:sz w:val="24"/>
              </w:rPr>
              <w:t>食品检验方法</w:t>
            </w:r>
            <w:r>
              <w:rPr>
                <w:sz w:val="24"/>
              </w:rPr>
              <w:t>、</w:t>
            </w:r>
            <w:r>
              <w:rPr>
                <w:sz w:val="24"/>
              </w:rPr>
              <w:t>标准和技术</w:t>
            </w:r>
            <w:r>
              <w:rPr>
                <w:sz w:val="24"/>
              </w:rPr>
              <w:t>研发能力，对目前暂未有判定依据的项目</w:t>
            </w:r>
            <w:r>
              <w:rPr>
                <w:sz w:val="24"/>
              </w:rPr>
              <w:t>可</w:t>
            </w:r>
            <w:r>
              <w:rPr>
                <w:sz w:val="24"/>
              </w:rPr>
              <w:t>出具检测数值、检测方法介绍、结果分析和处理建议</w:t>
            </w:r>
            <w:r>
              <w:rPr>
                <w:sz w:val="24"/>
              </w:rPr>
              <w:t>，为应对食品突发事件和有效排查食品非法添加问题提供技术支持。</w:t>
            </w:r>
          </w:p>
          <w:p>
            <w:pPr>
              <w:pStyle w:val="null3"/>
              <w:jc w:val="left"/>
            </w:pPr>
            <w:r>
              <w:rPr>
                <w:sz w:val="24"/>
              </w:rPr>
              <w:t>7</w:t>
            </w:r>
            <w:r>
              <w:rPr>
                <w:sz w:val="24"/>
              </w:rPr>
              <w:t>.中标人应当专业操守、尽职尽责，根据</w:t>
            </w:r>
            <w:r>
              <w:rPr>
                <w:sz w:val="24"/>
              </w:rPr>
              <w:t>食品</w:t>
            </w:r>
            <w:r>
              <w:rPr>
                <w:sz w:val="24"/>
              </w:rPr>
              <w:t>相关标准进行样品的抽样、检验及判定工作，并且按当次抽检方案约定日期出具检验报告。抽检监测任务完成后，中标人应对所有抽检产品检验结果进行统计和分析，</w:t>
            </w:r>
            <w:r>
              <w:rPr>
                <w:sz w:val="24"/>
              </w:rPr>
              <w:t>提出</w:t>
            </w:r>
            <w:r>
              <w:rPr>
                <w:sz w:val="24"/>
              </w:rPr>
              <w:t>监管建议。</w:t>
            </w:r>
          </w:p>
          <w:p>
            <w:pPr>
              <w:pStyle w:val="null3"/>
              <w:jc w:val="left"/>
            </w:pPr>
            <w:r>
              <w:rPr>
                <w:sz w:val="24"/>
              </w:rPr>
              <w:t>8</w:t>
            </w:r>
            <w:r>
              <w:rPr>
                <w:sz w:val="24"/>
              </w:rPr>
              <w:t>.中标人须对检验结果的真实性负责，由于虚假、错误检验数据和结论造成不良影响的，采购人有权终止合同，并由中标人承担相应法律责任。</w:t>
            </w:r>
          </w:p>
          <w:p>
            <w:pPr>
              <w:pStyle w:val="null3"/>
              <w:jc w:val="both"/>
            </w:pPr>
            <w:r>
              <w:rPr>
                <w:sz w:val="24"/>
              </w:rPr>
              <w:t>9</w:t>
            </w:r>
            <w:r>
              <w:rPr>
                <w:sz w:val="24"/>
              </w:rPr>
              <w:t>.中标人在开展抽检监测过程中弄虚作假或者不配合采购人开展工作的，采购人有权终止合同并追究中标人违约责任。</w:t>
            </w:r>
          </w:p>
        </w:tc>
      </w:tr>
      <w:tr>
        <w:tc>
          <w:tcPr>
            <w:tcW w:type="dxa" w:w="2076"/>
          </w:tcPr>
          <w:p/>
        </w:tc>
        <w:tc>
          <w:tcPr>
            <w:tcW w:type="dxa" w:w="415"/>
          </w:tcPr>
          <w:p>
            <w:pPr>
              <w:pStyle w:val="null3"/>
            </w:pPr>
            <w:r>
              <w:rPr/>
              <w:t>5</w:t>
            </w:r>
          </w:p>
        </w:tc>
        <w:tc>
          <w:tcPr>
            <w:tcW w:type="dxa" w:w="5814"/>
          </w:tcPr>
          <w:p>
            <w:pPr>
              <w:pStyle w:val="null3"/>
              <w:jc w:val="left"/>
            </w:pPr>
            <w:r>
              <w:rPr>
                <w:sz w:val="24"/>
                <w:b/>
              </w:rPr>
              <w:t>（五）检验结果的处理</w:t>
            </w:r>
          </w:p>
          <w:p>
            <w:pPr>
              <w:pStyle w:val="null3"/>
              <w:jc w:val="left"/>
            </w:pPr>
            <w:r>
              <w:rPr>
                <w:sz w:val="24"/>
              </w:rPr>
              <w:t>1.出具检验结论、提供检验报告及有关材料的送达、告知：采购人将根据《中华人民共和国食品安全法》《食品安全抽样检验管理办法》(市场监管总局令第15号)、《市场监管总局办公厅关于印发食品安全抽样检验工作规范的通知》等政策法规制定具体要求，供中标人执行。</w:t>
            </w:r>
          </w:p>
          <w:p>
            <w:pPr>
              <w:pStyle w:val="null3"/>
              <w:jc w:val="left"/>
            </w:pPr>
            <w:r>
              <w:rPr>
                <w:sz w:val="24"/>
              </w:rPr>
              <w:t>2.检验结果的评估：中标人应指派专人负责整理、分类、汇总抽检数据。中标人要对不合格项目进行原因及危害性分析评估，并出具分析评估报告，提出下一步检测意见和建议。发生食品安全突发事件时，中标人应配合做好分析评估工作，为采购人的决策提供技术依据。</w:t>
            </w:r>
          </w:p>
          <w:p>
            <w:pPr>
              <w:pStyle w:val="null3"/>
              <w:jc w:val="left"/>
            </w:pPr>
            <w:r>
              <w:rPr>
                <w:sz w:val="24"/>
              </w:rPr>
              <w:t>3.对被抽检单位异议的处理以及复检：</w:t>
            </w:r>
          </w:p>
          <w:p>
            <w:pPr>
              <w:pStyle w:val="null3"/>
              <w:jc w:val="left"/>
            </w:pPr>
            <w:r>
              <w:rPr>
                <w:sz w:val="24"/>
              </w:rPr>
              <w:t>（</w:t>
            </w:r>
            <w:r>
              <w:rPr>
                <w:sz w:val="24"/>
              </w:rPr>
              <w:t>1）协助采购人处理被抽检单位提出的异议申请。</w:t>
            </w:r>
          </w:p>
          <w:p>
            <w:pPr>
              <w:pStyle w:val="null3"/>
              <w:jc w:val="left"/>
            </w:pPr>
            <w:r>
              <w:rPr>
                <w:sz w:val="24"/>
              </w:rPr>
              <w:t>（</w:t>
            </w:r>
            <w:r>
              <w:rPr>
                <w:sz w:val="24"/>
              </w:rPr>
              <w:t>2）初检机构配合有关复检工作，复检机构依法开展复检工作。</w:t>
            </w:r>
          </w:p>
          <w:p>
            <w:pPr>
              <w:pStyle w:val="null3"/>
              <w:jc w:val="left"/>
            </w:pPr>
            <w:r>
              <w:rPr>
                <w:sz w:val="24"/>
              </w:rPr>
              <w:t>（</w:t>
            </w:r>
            <w:r>
              <w:rPr>
                <w:sz w:val="24"/>
              </w:rPr>
              <w:t>3）具备复检机构资格的中标人，在接到采购人指定的复检任务时，应予以受理。特殊情况不能接受的，复检中标人应说明理由并与采购人协商解决。复检机构由采购人指定。</w:t>
            </w:r>
          </w:p>
          <w:p>
            <w:pPr>
              <w:pStyle w:val="null3"/>
              <w:jc w:val="left"/>
            </w:pPr>
            <w:r>
              <w:rPr>
                <w:sz w:val="24"/>
              </w:rPr>
              <w:t>（</w:t>
            </w:r>
            <w:r>
              <w:rPr>
                <w:sz w:val="24"/>
              </w:rPr>
              <w:t>4）复检结论与初检结论不一致的，复检费用由初检机构承担；复检结论与初检结论一致的，复检费用由复检申请人承担。</w:t>
            </w:r>
          </w:p>
          <w:p>
            <w:pPr>
              <w:pStyle w:val="null3"/>
              <w:jc w:val="left"/>
            </w:pPr>
            <w:r>
              <w:rPr>
                <w:sz w:val="24"/>
              </w:rPr>
              <w:t>4.涉及抽检的全部情况包括数据及结果，中标人必须保密，不得向除采购人以外的任何单位与个人透露情况。</w:t>
            </w:r>
          </w:p>
          <w:p>
            <w:pPr>
              <w:pStyle w:val="null3"/>
              <w:jc w:val="both"/>
            </w:pPr>
            <w:r>
              <w:rPr>
                <w:sz w:val="24"/>
              </w:rPr>
              <w:t>5.为保证检验报告及有关公文的顺利送达，邮寄必须选择EMS或顺丰速运。邮寄所需费用由中标人支付。</w:t>
            </w:r>
          </w:p>
        </w:tc>
      </w:tr>
      <w:tr>
        <w:tc>
          <w:tcPr>
            <w:tcW w:type="dxa" w:w="2076"/>
          </w:tcPr>
          <w:p/>
        </w:tc>
        <w:tc>
          <w:tcPr>
            <w:tcW w:type="dxa" w:w="415"/>
          </w:tcPr>
          <w:p>
            <w:pPr>
              <w:pStyle w:val="null3"/>
            </w:pPr>
            <w:r>
              <w:rPr/>
              <w:t>6</w:t>
            </w:r>
          </w:p>
        </w:tc>
        <w:tc>
          <w:tcPr>
            <w:tcW w:type="dxa" w:w="5814"/>
          </w:tcPr>
          <w:p>
            <w:pPr>
              <w:pStyle w:val="null3"/>
              <w:jc w:val="left"/>
            </w:pPr>
            <w:r>
              <w:rPr>
                <w:sz w:val="24"/>
                <w:b/>
              </w:rPr>
              <w:t>（</w:t>
            </w:r>
            <w:r>
              <w:rPr>
                <w:sz w:val="24"/>
                <w:b/>
              </w:rPr>
              <w:t>六</w:t>
            </w:r>
            <w:r>
              <w:rPr>
                <w:sz w:val="24"/>
                <w:b/>
              </w:rPr>
              <w:t>）日常技术服务</w:t>
            </w:r>
          </w:p>
          <w:p>
            <w:pPr>
              <w:pStyle w:val="null3"/>
              <w:jc w:val="left"/>
            </w:pPr>
            <w:r>
              <w:rPr>
                <w:sz w:val="24"/>
              </w:rPr>
              <w:t>中标人根据采购人的工作需求，提供以下技术服务：</w:t>
            </w:r>
          </w:p>
          <w:p>
            <w:pPr>
              <w:pStyle w:val="null3"/>
              <w:jc w:val="left"/>
            </w:pPr>
            <w:r>
              <w:rPr>
                <w:sz w:val="24"/>
              </w:rPr>
              <w:t>1.</w:t>
            </w:r>
            <w:r>
              <w:rPr>
                <w:sz w:val="24"/>
              </w:rPr>
              <w:t>组织专家</w:t>
            </w:r>
            <w:r>
              <w:rPr>
                <w:sz w:val="24"/>
              </w:rPr>
              <w:t>对抽检数据进行分析，协助</w:t>
            </w:r>
            <w:r>
              <w:rPr>
                <w:sz w:val="24"/>
              </w:rPr>
              <w:t>组织</w:t>
            </w:r>
            <w:r>
              <w:rPr>
                <w:sz w:val="24"/>
              </w:rPr>
              <w:t>编撰分析报告</w:t>
            </w:r>
            <w:r>
              <w:rPr>
                <w:sz w:val="24"/>
              </w:rPr>
              <w:t>，</w:t>
            </w:r>
            <w:r>
              <w:rPr>
                <w:sz w:val="24"/>
              </w:rPr>
              <w:t>提出监管建议。</w:t>
            </w:r>
          </w:p>
          <w:p>
            <w:pPr>
              <w:pStyle w:val="null3"/>
              <w:jc w:val="left"/>
            </w:pPr>
            <w:r>
              <w:rPr>
                <w:sz w:val="24"/>
              </w:rPr>
              <w:t>2</w:t>
            </w:r>
            <w:r>
              <w:rPr>
                <w:sz w:val="24"/>
              </w:rPr>
              <w:t>.</w:t>
            </w:r>
            <w:r>
              <w:rPr>
                <w:sz w:val="24"/>
              </w:rPr>
              <w:t>提升前沿检测分析，</w:t>
            </w:r>
            <w:r>
              <w:rPr>
                <w:sz w:val="24"/>
              </w:rPr>
              <w:t>安排专家接受风险交流、</w:t>
            </w:r>
            <w:r>
              <w:rPr>
                <w:sz w:val="24"/>
              </w:rPr>
              <w:t>科研</w:t>
            </w:r>
            <w:r>
              <w:rPr>
                <w:sz w:val="24"/>
              </w:rPr>
              <w:t>研讨、课题研究，参与补充检验方法的制订、验证或使用</w:t>
            </w:r>
            <w:r>
              <w:rPr>
                <w:sz w:val="24"/>
              </w:rPr>
              <w:t>，为应对突发事件和有效排查非法添加问题提供技术支持。</w:t>
            </w:r>
          </w:p>
          <w:p>
            <w:pPr>
              <w:pStyle w:val="null3"/>
              <w:jc w:val="left"/>
            </w:pPr>
            <w:r>
              <w:rPr>
                <w:sz w:val="24"/>
              </w:rPr>
              <w:t>3.负责食品安全宣传活动中的咨询、检测</w:t>
            </w:r>
            <w:r>
              <w:rPr>
                <w:sz w:val="24"/>
              </w:rPr>
              <w:t>、宣讲等服务。</w:t>
            </w:r>
          </w:p>
          <w:p>
            <w:pPr>
              <w:pStyle w:val="null3"/>
              <w:jc w:val="left"/>
            </w:pPr>
            <w:r>
              <w:rPr>
                <w:sz w:val="24"/>
              </w:rPr>
              <w:t>4.</w:t>
            </w:r>
            <w:r>
              <w:rPr>
                <w:sz w:val="24"/>
              </w:rPr>
              <w:t>抽检系统、</w:t>
            </w:r>
            <w:r>
              <w:rPr>
                <w:sz w:val="24"/>
              </w:rPr>
              <w:t>新闻发布、</w:t>
            </w:r>
            <w:r>
              <w:rPr>
                <w:sz w:val="24"/>
              </w:rPr>
              <w:t>危机应对</w:t>
            </w:r>
            <w:r>
              <w:rPr>
                <w:sz w:val="24"/>
              </w:rPr>
              <w:t>、技能竞赛等技术支持。</w:t>
            </w:r>
            <w:r>
              <w:rPr>
                <w:sz w:val="24"/>
              </w:rPr>
              <w:t xml:space="preserve">                                  </w:t>
            </w:r>
          </w:p>
          <w:p>
            <w:pPr>
              <w:pStyle w:val="null3"/>
              <w:jc w:val="left"/>
            </w:pPr>
            <w:r>
              <w:rPr>
                <w:sz w:val="24"/>
              </w:rPr>
              <w:t>5.</w:t>
            </w:r>
            <w:r>
              <w:rPr>
                <w:sz w:val="24"/>
              </w:rPr>
              <w:t>组织开展</w:t>
            </w:r>
            <w:r>
              <w:rPr>
                <w:sz w:val="24"/>
              </w:rPr>
              <w:t>“你点我检”</w:t>
            </w:r>
            <w:r>
              <w:rPr>
                <w:sz w:val="24"/>
              </w:rPr>
              <w:t>“百姓点检日”线上线下活动</w:t>
            </w:r>
            <w:r>
              <w:rPr>
                <w:sz w:val="24"/>
              </w:rPr>
              <w:t>。</w:t>
            </w:r>
          </w:p>
          <w:p>
            <w:pPr>
              <w:pStyle w:val="null3"/>
              <w:jc w:val="left"/>
            </w:pPr>
            <w:r>
              <w:rPr>
                <w:sz w:val="24"/>
              </w:rPr>
              <w:t>6.接收</w:t>
            </w:r>
            <w:r>
              <w:rPr>
                <w:sz w:val="24"/>
              </w:rPr>
              <w:t>采购人</w:t>
            </w:r>
            <w:r>
              <w:rPr>
                <w:sz w:val="24"/>
              </w:rPr>
              <w:t>委托的应急</w:t>
            </w:r>
            <w:r>
              <w:rPr>
                <w:sz w:val="24"/>
              </w:rPr>
              <w:t>应节</w:t>
            </w:r>
            <w:r>
              <w:rPr>
                <w:sz w:val="24"/>
              </w:rPr>
              <w:t>抽检、复检等技术任务。</w:t>
            </w:r>
          </w:p>
          <w:p>
            <w:pPr>
              <w:pStyle w:val="null3"/>
              <w:jc w:val="both"/>
            </w:pPr>
            <w:r>
              <w:rPr>
                <w:sz w:val="24"/>
              </w:rPr>
              <w:t>7.其他根据工作提出的技术服务。</w:t>
            </w:r>
          </w:p>
        </w:tc>
      </w:tr>
      <w:tr>
        <w:tc>
          <w:tcPr>
            <w:tcW w:type="dxa" w:w="2076"/>
          </w:tcPr>
          <w:p/>
        </w:tc>
        <w:tc>
          <w:tcPr>
            <w:tcW w:type="dxa" w:w="415"/>
          </w:tcPr>
          <w:p>
            <w:pPr>
              <w:pStyle w:val="null3"/>
            </w:pPr>
            <w:r>
              <w:rPr/>
              <w:t>7</w:t>
            </w:r>
          </w:p>
        </w:tc>
        <w:tc>
          <w:tcPr>
            <w:tcW w:type="dxa" w:w="5814"/>
          </w:tcPr>
          <w:p>
            <w:pPr>
              <w:pStyle w:val="null3"/>
              <w:jc w:val="left"/>
            </w:pPr>
            <w:r>
              <w:rPr>
                <w:sz w:val="24"/>
                <w:b/>
              </w:rPr>
              <w:t>（</w:t>
            </w:r>
            <w:r>
              <w:rPr>
                <w:sz w:val="24"/>
                <w:b/>
              </w:rPr>
              <w:t>七</w:t>
            </w:r>
            <w:r>
              <w:rPr>
                <w:sz w:val="24"/>
                <w:b/>
              </w:rPr>
              <w:t>）其他</w:t>
            </w:r>
            <w:r>
              <w:rPr>
                <w:sz w:val="24"/>
                <w:b/>
              </w:rPr>
              <w:t>要求</w:t>
            </w:r>
          </w:p>
          <w:p>
            <w:pPr>
              <w:pStyle w:val="null3"/>
              <w:jc w:val="both"/>
            </w:pPr>
            <w:r>
              <w:rPr>
                <w:sz w:val="24"/>
              </w:rPr>
              <w:t>1.中标人应建立食品检验业务信息化系统，与采购人的食品抽样检验系统实现有效对接，并按照采购人要求按时将有关数据、材料导入或录入食品抽样检验系统</w:t>
            </w:r>
            <w:r>
              <w:rPr>
                <w:sz w:val="24"/>
              </w:rPr>
              <w:t>；</w:t>
            </w:r>
            <w:r>
              <w:rPr>
                <w:sz w:val="24"/>
              </w:rPr>
              <w:t>收集、整理、保存数据</w:t>
            </w:r>
            <w:r>
              <w:rPr>
                <w:sz w:val="24"/>
              </w:rPr>
              <w:t>，</w:t>
            </w:r>
            <w:r>
              <w:rPr>
                <w:sz w:val="24"/>
              </w:rPr>
              <w:t>随时备查。</w:t>
            </w:r>
          </w:p>
          <w:p>
            <w:pPr>
              <w:pStyle w:val="null3"/>
              <w:jc w:val="both"/>
            </w:pPr>
            <w:r>
              <w:rPr>
                <w:sz w:val="24"/>
              </w:rPr>
              <w:t>2</w:t>
            </w:r>
            <w:r>
              <w:rPr>
                <w:sz w:val="24"/>
              </w:rPr>
              <w:t>.根据工作需要和财政实际下达资金的情况，采购人对各中标人的承检任务及经费可以适当调整，中标人应当予以支持。</w:t>
            </w:r>
          </w:p>
          <w:p>
            <w:pPr>
              <w:pStyle w:val="null3"/>
              <w:jc w:val="both"/>
            </w:pPr>
            <w:r>
              <w:rPr>
                <w:sz w:val="24"/>
              </w:rPr>
              <w:t>3</w:t>
            </w:r>
            <w:r>
              <w:rPr>
                <w:sz w:val="24"/>
              </w:rPr>
              <w:t>.本项目需求中未作细化详尽的地方，采购人将在抽检开始前制定具体的要求，中标人应遵守执行；当政策法规发生调整或者工作形势发生变更，采购人可以调整有关抽检操作要求，中标人应按采购人要求实施。</w:t>
            </w:r>
          </w:p>
        </w:tc>
      </w:tr>
      <w:tr>
        <w:tc>
          <w:tcPr>
            <w:tcW w:type="dxa" w:w="2076"/>
          </w:tcPr>
          <w:p/>
        </w:tc>
        <w:tc>
          <w:tcPr>
            <w:tcW w:type="dxa" w:w="415"/>
          </w:tcPr>
          <w:p>
            <w:pPr>
              <w:pStyle w:val="null3"/>
            </w:pPr>
            <w:r>
              <w:rPr/>
              <w:t>8</w:t>
            </w:r>
          </w:p>
        </w:tc>
        <w:tc>
          <w:tcPr>
            <w:tcW w:type="dxa" w:w="5814"/>
          </w:tcPr>
          <w:p>
            <w:pPr>
              <w:pStyle w:val="null3"/>
              <w:jc w:val="left"/>
            </w:pPr>
            <w:r>
              <w:rPr>
                <w:sz w:val="24"/>
                <w:b/>
              </w:rPr>
              <w:t>附件一：</w:t>
            </w:r>
          </w:p>
          <w:p>
            <w:pPr>
              <w:pStyle w:val="null3"/>
              <w:jc w:val="center"/>
            </w:pPr>
            <w:r>
              <w:rPr>
                <w:sz w:val="28"/>
                <w:b/>
              </w:rPr>
              <w:t>检验类别响应表</w:t>
            </w:r>
          </w:p>
          <w:tbl>
            <w:tblPr>
              <w:tblBorders>
                <w:top w:val="none" w:color="000000" w:sz="4"/>
                <w:left w:val="none" w:color="000000" w:sz="4"/>
                <w:bottom w:val="none" w:color="000000" w:sz="4"/>
                <w:right w:val="none" w:color="000000" w:sz="4"/>
                <w:insideH w:val="none"/>
                <w:insideV w:val="none"/>
              </w:tblBorders>
            </w:tblPr>
            <w:tblGrid>
              <w:gridCol w:w="762"/>
              <w:gridCol w:w="2567"/>
              <w:gridCol w:w="2245"/>
            </w:tblGrid>
            <w:tr>
              <w:tc>
                <w:tcPr>
                  <w:tcW w:type="dxa" w:w="7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25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食品大类（一级）</w:t>
                  </w:r>
                </w:p>
              </w:tc>
              <w:tc>
                <w:tcPr>
                  <w:tcW w:type="dxa" w:w="22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响应情况（只允许填写</w:t>
                  </w:r>
                  <w:r>
                    <w:rPr>
                      <w:sz w:val="24"/>
                      <w:b/>
                    </w:rPr>
                    <w:t>:“承诺”或“不承诺”）</w:t>
                  </w: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粮食加工品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食用油、油脂及其制品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调味品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肉制品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乳制品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饮料</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方便食品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饼干</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罐头</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冷冻饮品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速冻食品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薯类和膨化食品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糖果制品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茶叶及相关制品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酒类</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蔬菜制品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水果制品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炒货食品及坚果制品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蛋制品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可可及焙烤咖啡食品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食糖</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水产制品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淀粉及淀粉制品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糕点</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豆制品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蜂产品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特殊膳食食品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餐饮食品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食品添加剂</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畜禽肉及副产品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蔬菜</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水产品</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水果类</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鲜蛋</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豆类</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r>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生干坚果与籽类食品和食用油</w:t>
                  </w:r>
                </w:p>
              </w:tc>
              <w:tc>
                <w:tcPr>
                  <w:tcW w:type="dxa" w:w="2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0"/>
                    <w:jc w:val="center"/>
                  </w:pPr>
                </w:p>
              </w:tc>
            </w:tr>
          </w:tbl>
          <w:p>
            <w:pPr>
              <w:pStyle w:val="null3"/>
              <w:jc w:val="both"/>
            </w:pPr>
            <w:r>
              <w:rPr>
                <w:sz w:val="24"/>
              </w:rPr>
              <w:t>注：</w:t>
            </w:r>
          </w:p>
          <w:p>
            <w:pPr>
              <w:pStyle w:val="null3"/>
              <w:jc w:val="both"/>
            </w:pPr>
            <w:r>
              <w:rPr>
                <w:sz w:val="24"/>
              </w:rPr>
              <w:t>1、中标人以投标文件提供的完整《资质认定证书及附表》和《检验类别响应表》作为承检能力的依据，若中标人与承诺的情况不符，采购人有权终止合同并追究其法律责任。</w:t>
            </w:r>
          </w:p>
          <w:p>
            <w:pPr>
              <w:pStyle w:val="null3"/>
              <w:jc w:val="both"/>
            </w:pPr>
            <w:r>
              <w:rPr>
                <w:sz w:val="24"/>
              </w:rPr>
              <w:t>2、投标人只允许填写:“承诺”或“不承诺”。如投标人填写不符合要求，填写的单项响应情况视为“不承诺”。</w:t>
            </w:r>
          </w:p>
          <w:p>
            <w:pPr>
              <w:pStyle w:val="null3"/>
              <w:jc w:val="both"/>
            </w:pPr>
            <w:r>
              <w:rPr>
                <w:sz w:val="24"/>
              </w:rPr>
              <w:t>投标人名称（</w:t>
            </w:r>
            <w:r>
              <w:rPr>
                <w:sz w:val="24"/>
              </w:rPr>
              <w:t>单位盖</w:t>
            </w:r>
            <w:r>
              <w:rPr>
                <w:sz w:val="24"/>
              </w:rPr>
              <w:t>公章）：</w:t>
            </w:r>
          </w:p>
          <w:p>
            <w:pPr>
              <w:pStyle w:val="null3"/>
              <w:jc w:val="both"/>
            </w:pPr>
            <w:r>
              <w:rPr>
                <w:sz w:val="24"/>
              </w:rPr>
              <w:t>日期：</w:t>
            </w:r>
          </w:p>
        </w:tc>
      </w:tr>
      <w:tr>
        <w:tc>
          <w:tcPr>
            <w:tcW w:type="dxa" w:w="2076"/>
          </w:tcPr>
          <w:p/>
        </w:tc>
        <w:tc>
          <w:tcPr>
            <w:tcW w:type="dxa" w:w="415"/>
          </w:tcPr>
          <w:p>
            <w:pPr>
              <w:pStyle w:val="null3"/>
            </w:pPr>
            <w:r>
              <w:rPr/>
              <w:t>9</w:t>
            </w:r>
          </w:p>
        </w:tc>
        <w:tc>
          <w:tcPr>
            <w:tcW w:type="dxa" w:w="5814"/>
          </w:tcPr>
          <w:p>
            <w:pPr>
              <w:pStyle w:val="null3"/>
              <w:jc w:val="left"/>
            </w:pPr>
            <w:r>
              <w:rPr>
                <w:sz w:val="24"/>
                <w:b/>
              </w:rPr>
              <w:t>附件二：</w:t>
            </w:r>
          </w:p>
          <w:p>
            <w:pPr>
              <w:pStyle w:val="null3"/>
              <w:jc w:val="center"/>
            </w:pPr>
            <w:r>
              <w:rPr>
                <w:sz w:val="30"/>
                <w:b/>
              </w:rPr>
              <w:t>检验项目响应表</w:t>
            </w:r>
          </w:p>
          <w:p>
            <w:pPr>
              <w:pStyle w:val="null3"/>
              <w:jc w:val="both"/>
            </w:pPr>
            <w:r>
              <w:rPr>
                <w:sz w:val="24"/>
              </w:rPr>
              <w:t>项目名称：</w:t>
            </w:r>
            <w:r>
              <w:rPr>
                <w:sz w:val="21"/>
                <w:u w:val="single"/>
              </w:rPr>
              <w:t xml:space="preserve">                   </w:t>
            </w:r>
          </w:p>
          <w:p>
            <w:pPr>
              <w:pStyle w:val="null3"/>
              <w:jc w:val="both"/>
            </w:pPr>
            <w:r>
              <w:rPr>
                <w:sz w:val="24"/>
              </w:rPr>
              <w:t>项目编号：</w:t>
            </w:r>
            <w:r>
              <w:rPr>
                <w:sz w:val="21"/>
                <w:u w:val="single"/>
              </w:rPr>
              <w:t xml:space="preserve">                   </w:t>
            </w:r>
          </w:p>
          <w:p>
            <w:pPr>
              <w:pStyle w:val="null3"/>
              <w:jc w:val="both"/>
            </w:pPr>
            <w:r>
              <w:rPr>
                <w:sz w:val="24"/>
              </w:rPr>
              <w:t>采购包</w:t>
            </w:r>
            <w:r>
              <w:rPr>
                <w:sz w:val="24"/>
              </w:rPr>
              <w:t>号：</w:t>
            </w:r>
            <w:r>
              <w:rPr>
                <w:sz w:val="21"/>
                <w:u w:val="single"/>
              </w:rPr>
              <w:t xml:space="preserve">                   </w:t>
            </w:r>
          </w:p>
          <w:p>
            <w:pPr>
              <w:pStyle w:val="null3"/>
            </w:pPr>
            <w:r>
              <w:rPr>
                <w:sz w:val="24"/>
              </w:rPr>
              <w:t>CMA</w:t>
            </w:r>
            <w:r>
              <w:rPr>
                <w:sz w:val="24"/>
              </w:rPr>
              <w:t>附表对《国家食品安全监督抽检实施细则》（</w:t>
            </w:r>
            <w:r>
              <w:rPr>
                <w:sz w:val="24"/>
              </w:rPr>
              <w:t>202</w:t>
            </w:r>
            <w:r>
              <w:rPr>
                <w:sz w:val="24"/>
              </w:rPr>
              <w:t>4</w:t>
            </w:r>
            <w:r>
              <w:rPr>
                <w:sz w:val="24"/>
              </w:rPr>
              <w:t>年版）覆盖</w:t>
            </w:r>
            <w:r>
              <w:rPr>
                <w:sz w:val="24"/>
              </w:rPr>
              <w:t>率为</w:t>
            </w:r>
            <w:r>
              <w:rPr>
                <w:sz w:val="24"/>
                <w:u w:val="single"/>
              </w:rPr>
              <w:t xml:space="preserve">     </w:t>
            </w:r>
            <w:r>
              <w:rPr>
                <w:sz w:val="24"/>
                <w:u w:val="single"/>
              </w:rPr>
              <w:t>%</w:t>
            </w:r>
          </w:p>
          <w:tbl>
            <w:tblPr>
              <w:tblInd w:type="dxa" w:w="120"/>
              <w:tblBorders>
                <w:top w:val="none" w:color="000000" w:sz="4"/>
                <w:left w:val="none" w:color="000000" w:sz="4"/>
                <w:bottom w:val="none" w:color="000000" w:sz="4"/>
                <w:right w:val="none" w:color="000000" w:sz="4"/>
                <w:insideH w:val="none"/>
                <w:insideV w:val="none"/>
              </w:tblBorders>
            </w:tblPr>
            <w:tblGrid>
              <w:gridCol w:w="650"/>
              <w:gridCol w:w="575"/>
              <w:gridCol w:w="671"/>
              <w:gridCol w:w="639"/>
              <w:gridCol w:w="597"/>
              <w:gridCol w:w="757"/>
              <w:gridCol w:w="405"/>
              <w:gridCol w:w="586"/>
              <w:gridCol w:w="661"/>
            </w:tblGrid>
            <w:tr>
              <w:tc>
                <w:tcPr>
                  <w:tcW w:type="dxa" w:w="5541"/>
                  <w:gridSpan w:val="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检验项目</w:t>
                  </w:r>
                  <w:r>
                    <w:rPr>
                      <w:sz w:val="24"/>
                      <w:b/>
                    </w:rPr>
                    <w:t>响应表</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75"/>
                    <w:jc w:val="center"/>
                  </w:pPr>
                  <w:r>
                    <w:rPr>
                      <w:sz w:val="24"/>
                      <w:b/>
                    </w:rPr>
                    <w:t>序号</w:t>
                  </w:r>
                </w:p>
              </w:tc>
              <w:tc>
                <w:tcPr>
                  <w:tcW w:type="dxa" w:w="5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食品大类（一级）</w:t>
                  </w:r>
                </w:p>
              </w:tc>
              <w:tc>
                <w:tcPr>
                  <w:tcW w:type="dxa" w:w="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食品亚类（二级）</w:t>
                  </w:r>
                </w:p>
              </w:tc>
              <w:tc>
                <w:tcPr>
                  <w:tcW w:type="dxa" w:w="6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食品品种（三级）</w:t>
                  </w:r>
                </w:p>
              </w:tc>
              <w:tc>
                <w:tcPr>
                  <w:tcW w:type="dxa" w:w="5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食品细类（一级）</w:t>
                  </w:r>
                </w:p>
              </w:tc>
              <w:tc>
                <w:tcPr>
                  <w:tcW w:type="dxa" w:w="7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检验项目</w:t>
                  </w:r>
                </w:p>
              </w:tc>
              <w:tc>
                <w:tcPr>
                  <w:tcW w:type="dxa" w:w="4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是否响应</w:t>
                  </w:r>
                </w:p>
              </w:tc>
              <w:tc>
                <w:tcPr>
                  <w:tcW w:type="dxa" w:w="5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CMA资质附表</w:t>
                  </w:r>
                  <w:r>
                    <w:rPr>
                      <w:sz w:val="24"/>
                      <w:b/>
                    </w:rPr>
                    <w:t>页码</w:t>
                  </w:r>
                </w:p>
              </w:tc>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CMA资质附表</w:t>
                  </w:r>
                  <w:r>
                    <w:rPr>
                      <w:sz w:val="24"/>
                      <w:b/>
                    </w:rPr>
                    <w:t>序号</w:t>
                  </w:r>
                </w:p>
              </w:tc>
            </w:tr>
            <w:tr>
              <w:tc>
                <w:tcPr>
                  <w:tcW w:type="dxa" w:w="6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5" w:right="-75"/>
                    <w:jc w:val="center"/>
                  </w:pPr>
                  <w:r>
                    <w:rPr>
                      <w:sz w:val="24"/>
                    </w:rPr>
                    <w:t>1</w:t>
                  </w:r>
                </w:p>
              </w:tc>
              <w:tc>
                <w:tcPr>
                  <w:tcW w:type="dxa" w:w="5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粮食加工品</w:t>
                  </w:r>
                </w:p>
              </w:tc>
              <w:tc>
                <w:tcPr>
                  <w:tcW w:type="dxa" w:w="6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大米</w:t>
                  </w:r>
                </w:p>
              </w:tc>
              <w:tc>
                <w:tcPr>
                  <w:tcW w:type="dxa" w:w="6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大米</w:t>
                  </w:r>
                </w:p>
              </w:tc>
              <w:tc>
                <w:tcPr>
                  <w:tcW w:type="dxa" w:w="5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大米</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铅（以</w:t>
                  </w:r>
                  <w:r>
                    <w:rPr>
                      <w:sz w:val="24"/>
                    </w:rPr>
                    <w:t>Pb计</w:t>
                  </w:r>
                  <w:r>
                    <w:rPr>
                      <w:sz w:val="24"/>
                    </w:rPr>
                    <w:t>）</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50"/>
                  <w:vMerge/>
                  <w:tcBorders>
                    <w:top w:val="none" w:color="000000" w:sz="4"/>
                    <w:left w:val="single" w:color="000000" w:sz="4"/>
                    <w:bottom w:val="single" w:color="000000" w:sz="4"/>
                    <w:right w:val="single" w:color="000000" w:sz="4"/>
                  </w:tcBorders>
                </w:tcPr>
                <w:p/>
              </w:tc>
              <w:tc>
                <w:tcPr>
                  <w:tcW w:type="dxa" w:w="575"/>
                  <w:vMerge/>
                  <w:tcBorders>
                    <w:top w:val="none" w:color="000000" w:sz="4"/>
                    <w:left w:val="single" w:color="000000" w:sz="4"/>
                    <w:bottom w:val="single" w:color="000000" w:sz="4"/>
                    <w:right w:val="single" w:color="000000" w:sz="4"/>
                  </w:tcBorders>
                </w:tcPr>
                <w:p/>
              </w:tc>
              <w:tc>
                <w:tcPr>
                  <w:tcW w:type="dxa" w:w="671"/>
                  <w:vMerge/>
                  <w:tcBorders>
                    <w:top w:val="none" w:color="000000" w:sz="4"/>
                    <w:left w:val="single" w:color="000000" w:sz="4"/>
                    <w:bottom w:val="single" w:color="000000" w:sz="4"/>
                    <w:right w:val="single" w:color="000000" w:sz="4"/>
                  </w:tcBorders>
                </w:tcPr>
                <w:p/>
              </w:tc>
              <w:tc>
                <w:tcPr>
                  <w:tcW w:type="dxa" w:w="639"/>
                  <w:vMerge/>
                  <w:tcBorders>
                    <w:top w:val="none" w:color="000000" w:sz="4"/>
                    <w:left w:val="single" w:color="000000" w:sz="4"/>
                    <w:bottom w:val="single" w:color="000000" w:sz="4"/>
                    <w:right w:val="single" w:color="000000" w:sz="4"/>
                  </w:tcBorders>
                </w:tcPr>
                <w:p/>
              </w:tc>
              <w:tc>
                <w:tcPr>
                  <w:tcW w:type="dxa" w:w="597"/>
                  <w:vMerge/>
                  <w:tcBorders>
                    <w:top w:val="none" w:color="000000" w:sz="4"/>
                    <w:left w:val="single" w:color="000000" w:sz="4"/>
                    <w:bottom w:val="single" w:color="000000" w:sz="4"/>
                    <w:right w:val="single" w:color="000000" w:sz="4"/>
                  </w:tcBorders>
                </w:tcP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镉（以</w:t>
                  </w:r>
                  <w:r>
                    <w:rPr>
                      <w:sz w:val="24"/>
                    </w:rPr>
                    <w:t>Cd计</w:t>
                  </w:r>
                  <w:r>
                    <w:rPr>
                      <w:sz w:val="24"/>
                    </w:rPr>
                    <w:t>）</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50"/>
                  <w:vMerge/>
                  <w:tcBorders>
                    <w:top w:val="none" w:color="000000" w:sz="4"/>
                    <w:left w:val="single" w:color="000000" w:sz="4"/>
                    <w:bottom w:val="single" w:color="000000" w:sz="4"/>
                    <w:right w:val="single" w:color="000000" w:sz="4"/>
                  </w:tcBorders>
                </w:tcPr>
                <w:p/>
              </w:tc>
              <w:tc>
                <w:tcPr>
                  <w:tcW w:type="dxa" w:w="575"/>
                  <w:vMerge/>
                  <w:tcBorders>
                    <w:top w:val="none" w:color="000000" w:sz="4"/>
                    <w:left w:val="single" w:color="000000" w:sz="4"/>
                    <w:bottom w:val="single" w:color="000000" w:sz="4"/>
                    <w:right w:val="single" w:color="000000" w:sz="4"/>
                  </w:tcBorders>
                </w:tcPr>
                <w:p/>
              </w:tc>
              <w:tc>
                <w:tcPr>
                  <w:tcW w:type="dxa" w:w="671"/>
                  <w:vMerge/>
                  <w:tcBorders>
                    <w:top w:val="none" w:color="000000" w:sz="4"/>
                    <w:left w:val="single" w:color="000000" w:sz="4"/>
                    <w:bottom w:val="single" w:color="000000" w:sz="4"/>
                    <w:right w:val="single" w:color="000000" w:sz="4"/>
                  </w:tcBorders>
                </w:tcPr>
                <w:p/>
              </w:tc>
              <w:tc>
                <w:tcPr>
                  <w:tcW w:type="dxa" w:w="639"/>
                  <w:vMerge/>
                  <w:tcBorders>
                    <w:top w:val="none" w:color="000000" w:sz="4"/>
                    <w:left w:val="single" w:color="000000" w:sz="4"/>
                    <w:bottom w:val="single" w:color="000000" w:sz="4"/>
                    <w:right w:val="single" w:color="000000" w:sz="4"/>
                  </w:tcBorders>
                </w:tcPr>
                <w:p/>
              </w:tc>
              <w:tc>
                <w:tcPr>
                  <w:tcW w:type="dxa" w:w="597"/>
                  <w:vMerge/>
                  <w:tcBorders>
                    <w:top w:val="none" w:color="000000" w:sz="4"/>
                    <w:left w:val="single" w:color="000000" w:sz="4"/>
                    <w:bottom w:val="single" w:color="000000" w:sz="4"/>
                    <w:right w:val="single" w:color="000000" w:sz="4"/>
                  </w:tcBorders>
                </w:tcP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黄曲霉毒素</w:t>
                  </w:r>
                  <w:r>
                    <w:rPr>
                      <w:sz w:val="24"/>
                    </w:rPr>
                    <w:t>B1</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rPr>
              <w:t>《关于填写检验项目响应表的有关说明》：投标人填写《检验项目响应表》时，应说明每个检测项目所在</w:t>
            </w:r>
            <w:r>
              <w:rPr>
                <w:sz w:val="24"/>
                <w:b/>
              </w:rPr>
              <w:t>CMA</w:t>
            </w:r>
            <w:r>
              <w:rPr>
                <w:sz w:val="24"/>
                <w:b/>
              </w:rPr>
              <w:t>后附表中对应的页码和序号，不得仅指向认证的产品标准：</w:t>
            </w:r>
          </w:p>
          <w:p>
            <w:pPr>
              <w:pStyle w:val="null3"/>
              <w:jc w:val="both"/>
            </w:pPr>
            <w:r>
              <w:rPr>
                <w:sz w:val="24"/>
              </w:rPr>
              <w:t>投标人法定代表人（或法定代表人授权代表）签字：</w:t>
            </w:r>
            <w:r>
              <w:rPr>
                <w:sz w:val="21"/>
                <w:u w:val="single"/>
              </w:rPr>
              <w:t xml:space="preserve">                   </w:t>
            </w:r>
          </w:p>
          <w:p>
            <w:pPr>
              <w:pStyle w:val="null3"/>
              <w:ind w:left="210"/>
              <w:jc w:val="both"/>
            </w:pPr>
            <w:r>
              <w:rPr>
                <w:sz w:val="24"/>
              </w:rPr>
              <w:t>投标人名称（盖公章）：</w:t>
            </w:r>
            <w:r>
              <w:rPr>
                <w:sz w:val="21"/>
                <w:u w:val="single"/>
              </w:rPr>
              <w:t xml:space="preserve">                     </w:t>
            </w:r>
            <w:r>
              <w:rPr>
                <w:sz w:val="21"/>
              </w:rPr>
              <w:t xml:space="preserve">   </w:t>
            </w:r>
          </w:p>
          <w:p>
            <w:pPr>
              <w:pStyle w:val="null3"/>
              <w:jc w:val="both"/>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1.采购代理机构：本项目是指广东远东招标代理有限公司韶关分公司，负责整个采购活动的组织，依法负责编制和发布招标文件，对招标文件拥有最终的解释权，不以任何身份出任评标委员会成员。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韶关市市场监督管理局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p>
            <w:pPr>
              <w:pStyle w:val="null3"/>
            </w:pPr>
            <w:r>
              <w:rPr/>
              <w:t>采购包3：折扣率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p>
            <w:pPr>
              <w:pStyle w:val="null3"/>
            </w:pPr>
            <w:r>
              <w:rPr/>
              <w:t>采购包3：0%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兼投不兼中：1、投标人可以选择其中一个采购包进行投标，也可同时对三个采购包进行投标，但必须对同一采购包的全部内容进行响应，且每个采购包的投标文件必须单独制作。 2、每个投标人最多只能被确定为1个采购包的第一中标候选人。本项目按采购包的顺序进行评审，依次按照评标总得分由高到低的顺序推荐，已获得采购包第一中标候选人资格的，将不得进入后续采购包的评审环节，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各包组招标代理服务费由中标人向采购代理机构一次性支付。参照国家计委颁布的《招标代理服务收费管理暂行办法》（计价格[2002]1980号）和国家发改委办公厅颁布的《国家发改委办公厅关于招标代理服务收费有关问题的通知》（发改价格[2011]534号）、国家发展和改革委员会《关于进一步放开建设项目专业服务价格的通知》（发改价格[2015]299号）的规定标准下浮6%后收取招标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广东远东招标代理有限公司韶关分公司</w:t>
      </w:r>
      <w:r>
        <w:rPr/>
        <w:t>代收。具体操作要求详见</w:t>
      </w:r>
      <w:r>
        <w:rPr/>
        <w:t>广东远东招标代理有限公司韶关分公司</w:t>
      </w:r>
      <w:r>
        <w:rPr/>
        <w:t>有关指引，递交事宜请自行咨询</w:t>
      </w:r>
      <w:r>
        <w:rPr/>
        <w:t>广东远东招标代理有限公司韶关分公司</w:t>
      </w:r>
      <w:r>
        <w:rPr/>
        <w:t>；请各投标人在投标文件递交截止时间前按须知前附表规定的金额递交至</w:t>
      </w:r>
      <w:r>
        <w:rPr/>
        <w:t>广东远东招标代理有限公司韶关分公司</w:t>
      </w:r>
      <w:r>
        <w:rPr/>
        <w:t>，到账情况以开标时</w:t>
      </w:r>
      <w:r>
        <w:rPr/>
        <w:t>广东远东招标代理有限公司韶关分公司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广东远东招标代理有限公司（http://www.gdydzb.com）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广东远东招标代理有限公司（http://www.gdydzb.com）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邹小姐</w:t>
      </w:r>
    </w:p>
    <w:p>
      <w:pPr>
        <w:pStyle w:val="null3"/>
        <w:ind w:firstLine="480"/>
      </w:pPr>
      <w:r>
        <w:rPr/>
        <w:t>电话：</w:t>
      </w:r>
      <w:r>
        <w:rPr/>
        <w:t>0751-8115118</w:t>
      </w:r>
    </w:p>
    <w:p>
      <w:pPr>
        <w:pStyle w:val="null3"/>
        <w:ind w:firstLine="480"/>
      </w:pPr>
      <w:r>
        <w:rPr/>
        <w:t>传真：</w:t>
      </w:r>
      <w:r>
        <w:rPr/>
        <w:t>/</w:t>
      </w:r>
    </w:p>
    <w:p>
      <w:pPr>
        <w:pStyle w:val="null3"/>
        <w:ind w:firstLine="480"/>
      </w:pPr>
      <w:r>
        <w:rPr/>
        <w:t>邮箱：</w:t>
      </w:r>
      <w:r>
        <w:rPr/>
        <w:t>shaoguan_yuandong@163.com</w:t>
      </w:r>
    </w:p>
    <w:p>
      <w:pPr>
        <w:pStyle w:val="null3"/>
        <w:ind w:firstLine="480"/>
      </w:pPr>
      <w:r>
        <w:rPr/>
        <w:t>地址：</w:t>
      </w:r>
      <w:r>
        <w:rPr/>
        <w:t>韶关市武江区西联镇小阳山沐芙路扬成名门综合楼三楼(韶关分公司)</w:t>
      </w:r>
    </w:p>
    <w:p>
      <w:pPr>
        <w:pStyle w:val="null3"/>
        <w:ind w:firstLine="480"/>
      </w:pPr>
      <w:r>
        <w:rPr/>
        <w:t>邮编：</w:t>
      </w:r>
      <w:r>
        <w:rPr/>
        <w:t>512000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政府采购监督管理机构名称：韶关市财政局</w:t>
      </w:r>
    </w:p>
    <w:p>
      <w:pPr>
        <w:pStyle w:val="null3"/>
      </w:pPr>
      <w:r>
        <w:rPr/>
        <w:t>地 址：韶关市武江区惠民北路18号</w:t>
      </w:r>
    </w:p>
    <w:p>
      <w:pPr>
        <w:pStyle w:val="null3"/>
      </w:pPr>
      <w:r>
        <w:rPr/>
        <w:t>电 话：0751-8177227</w:t>
      </w:r>
    </w:p>
    <w:p>
      <w:pPr>
        <w:pStyle w:val="null3"/>
      </w:pPr>
      <w:r>
        <w:rPr/>
        <w:t>邮 编：512000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食用农产品、餐饮环节食品抽检)：综合评分法,是指投标文件满足招标文件全部实质性要求，且按照评审因素的量化指标评审得分最高的投标人为中标候选人的评标方法。（最低报价不是中标的唯一依据。）</w:t>
      </w:r>
    </w:p>
    <w:p>
      <w:pPr>
        <w:pStyle w:val="null3"/>
      </w:pPr>
      <w:r>
        <w:rPr/>
        <w:t>采购包2(食用农产品、流通环节食品抽检)：综合评分法,是指投标文件满足招标文件全部实质性要求，且按照评审因素的量化指标评审得分最高的投标人为中标候选人的评标方法。（最低报价不是中标的唯一依据。）</w:t>
      </w:r>
    </w:p>
    <w:p>
      <w:pPr>
        <w:pStyle w:val="null3"/>
      </w:pPr>
      <w:r>
        <w:rPr/>
        <w:t>采购包3(食用农产品、生产（小作坊）环节食品抽检)：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广东远东招标代理有限公司韶关分公司</w:t>
      </w:r>
      <w:r>
        <w:rPr/>
        <w:t>统一对外发布。</w:t>
      </w:r>
    </w:p>
    <w:p>
      <w:pPr>
        <w:pStyle w:val="null3"/>
        <w:ind w:firstLine="480"/>
      </w:pPr>
      <w:r>
        <w:rPr/>
        <w:t>（2）对</w:t>
      </w:r>
      <w:r>
        <w:rPr/>
        <w:t>广东远东招标代理有限公司韶关分公司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采购包1（食用农产品、餐饮环节食品抽检）：</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采购包2（食用农产品、流通环节食品抽检）：</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采购包3（食用农产品、生产（小作坊）环节食品抽检）：</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采购包1（食用农产品、餐饮环节食品抽检）：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参加采购活动前3年内，在经营活动中没有重大违法记录：投标文件中提供《资格条件承诺函》，（格式详见招标文件“第二章 采购需求”）。 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投标人或其实验室必须具备有效的检验检测机构资质认定证书（CMA）。（如国家另有规定，则适用其规定）。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w:t>
            </w:r>
          </w:p>
        </w:tc>
      </w:tr>
    </w:tbl>
    <w:p>
      <w:pPr>
        <w:pStyle w:val="null3"/>
      </w:pPr>
      <w:r>
        <w:rPr/>
        <w:t>采购包2（食用农产品、流通环节食品抽检）：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参加采购活动前3年内，在经营活动中没有重大违法记录：投标文件中提供《资格条件承诺函》，（格式详见招标文件“第二章 采购需求”）。 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投标人或其实验室必须具备有效的检验检测机构资质认定证书（CMA）。（如国家另有规定，则适用其规定）。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w:t>
            </w:r>
          </w:p>
        </w:tc>
      </w:tr>
    </w:tbl>
    <w:p>
      <w:pPr>
        <w:pStyle w:val="null3"/>
      </w:pPr>
      <w:r>
        <w:rPr/>
        <w:t>采购包3（食用农产品、生产（小作坊）环节食品抽检）：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参加采购活动前3年内，在经营活动中没有重大违法记录：投标文件中提供《资格条件承诺函》，（格式详见招标文件“第二章 采购需求”）。 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投标人或其实验室必须具备有效的检验检测机构资质认定证书（CMA）。（如国家另有规定，则适用其规定）。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w:t>
            </w:r>
          </w:p>
        </w:tc>
      </w:tr>
    </w:tbl>
    <w:p>
      <w:pPr>
        <w:pStyle w:val="null3"/>
        <w:ind w:firstLine="480"/>
      </w:pPr>
      <w:r>
        <w:rPr/>
        <w:t>表二符合性审查表：</w:t>
      </w:r>
    </w:p>
    <w:p>
      <w:pPr>
        <w:pStyle w:val="null3"/>
      </w:pPr>
      <w:r>
        <w:rPr/>
        <w:t>采购包1（食用农产品、餐饮环节食品抽检）：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投标文件按招标文件要求签署、盖章。</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①投标折扣率报价是固定唯一值且在0.00%-100.00%范围内取值；②投标文件未出现选择性报价或有附加条件报价的情形。</w:t>
            </w:r>
          </w:p>
        </w:tc>
      </w:tr>
      <w:tr>
        <w:tc>
          <w:tcPr>
            <w:tcW w:type="dxa" w:w="890"/>
          </w:tcPr>
          <w:p>
            <w:pPr>
              <w:pStyle w:val="null3"/>
            </w:pPr>
            <w:r>
              <w:rPr/>
              <w:t>4</w:t>
            </w:r>
          </w:p>
        </w:tc>
        <w:tc>
          <w:tcPr>
            <w:tcW w:type="dxa" w:w="3178"/>
          </w:tcPr>
          <w:p>
            <w:pPr>
              <w:pStyle w:val="null3"/>
            </w:pPr>
            <w:r>
              <w:rPr/>
              <w:t>“★”号实质性响应情况</w:t>
            </w:r>
          </w:p>
        </w:tc>
        <w:tc>
          <w:tcPr>
            <w:tcW w:type="dxa" w:w="4238"/>
          </w:tcPr>
          <w:p>
            <w:pPr>
              <w:pStyle w:val="null3"/>
            </w:pPr>
            <w:r>
              <w:rPr/>
              <w:t>投标文件完全满足招标文件的实质性条款（即标注★号条款）无负偏离。</w:t>
            </w:r>
          </w:p>
        </w:tc>
      </w:tr>
      <w:tr>
        <w:tc>
          <w:tcPr>
            <w:tcW w:type="dxa" w:w="890"/>
          </w:tcPr>
          <w:p>
            <w:pPr>
              <w:pStyle w:val="null3"/>
            </w:pPr>
            <w:r>
              <w:rPr/>
              <w:t>5</w:t>
            </w:r>
          </w:p>
        </w:tc>
        <w:tc>
          <w:tcPr>
            <w:tcW w:type="dxa" w:w="3178"/>
          </w:tcPr>
          <w:p>
            <w:pPr>
              <w:pStyle w:val="null3"/>
            </w:pPr>
            <w:r>
              <w:rPr/>
              <w:t>其他无效响应情况</w:t>
            </w:r>
          </w:p>
        </w:tc>
        <w:tc>
          <w:tcPr>
            <w:tcW w:type="dxa" w:w="4238"/>
          </w:tcPr>
          <w:p>
            <w:pPr>
              <w:pStyle w:val="null3"/>
            </w:pPr>
            <w:r>
              <w:rPr/>
              <w:t>①投标文件没有招标文件中规定的其他无效响应条款；②投标文件无采购人不能接受的附加条件。</w:t>
            </w:r>
          </w:p>
        </w:tc>
      </w:tr>
      <w:tr>
        <w:tc>
          <w:tcPr>
            <w:tcW w:type="dxa" w:w="890"/>
          </w:tcPr>
          <w:p>
            <w:pPr>
              <w:pStyle w:val="null3"/>
            </w:pPr>
            <w:r>
              <w:rPr/>
              <w:t>6</w:t>
            </w:r>
          </w:p>
        </w:tc>
        <w:tc>
          <w:tcPr>
            <w:tcW w:type="dxa" w:w="3178"/>
          </w:tcPr>
          <w:p>
            <w:pPr>
              <w:pStyle w:val="null3"/>
            </w:pPr>
            <w:r>
              <w:rPr/>
              <w:t>兼投不兼中</w:t>
            </w:r>
          </w:p>
        </w:tc>
        <w:tc>
          <w:tcPr>
            <w:tcW w:type="dxa" w:w="4238"/>
          </w:tcPr>
          <w:p>
            <w:pPr>
              <w:pStyle w:val="null3"/>
            </w:pPr>
            <w:r>
              <w:rPr/>
              <w:t>符合兼投不兼中规则。</w:t>
            </w:r>
          </w:p>
        </w:tc>
      </w:tr>
    </w:tbl>
    <w:p>
      <w:pPr>
        <w:pStyle w:val="null3"/>
      </w:pPr>
      <w:r>
        <w:rPr/>
        <w:t>采购包2（食用农产品、流通环节食品抽检）：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投标文件按招标文件要求签署、盖章。</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①投标折扣率报价是固定唯一值且在0.00%-100.00%范围内取值；②投标文件未出现选择性报价或有附加条件报价的情形。</w:t>
            </w:r>
          </w:p>
        </w:tc>
      </w:tr>
      <w:tr>
        <w:tc>
          <w:tcPr>
            <w:tcW w:type="dxa" w:w="890"/>
          </w:tcPr>
          <w:p>
            <w:pPr>
              <w:pStyle w:val="null3"/>
            </w:pPr>
            <w:r>
              <w:rPr/>
              <w:t>4</w:t>
            </w:r>
          </w:p>
        </w:tc>
        <w:tc>
          <w:tcPr>
            <w:tcW w:type="dxa" w:w="3178"/>
          </w:tcPr>
          <w:p>
            <w:pPr>
              <w:pStyle w:val="null3"/>
            </w:pPr>
            <w:r>
              <w:rPr/>
              <w:t>“★”号实质性响应情况</w:t>
            </w:r>
          </w:p>
        </w:tc>
        <w:tc>
          <w:tcPr>
            <w:tcW w:type="dxa" w:w="4238"/>
          </w:tcPr>
          <w:p>
            <w:pPr>
              <w:pStyle w:val="null3"/>
            </w:pPr>
            <w:r>
              <w:rPr/>
              <w:t>投标文件完全满足招标文件的实质性条款（即标注★号条款）无负偏离。</w:t>
            </w:r>
          </w:p>
        </w:tc>
      </w:tr>
      <w:tr>
        <w:tc>
          <w:tcPr>
            <w:tcW w:type="dxa" w:w="890"/>
          </w:tcPr>
          <w:p>
            <w:pPr>
              <w:pStyle w:val="null3"/>
            </w:pPr>
            <w:r>
              <w:rPr/>
              <w:t>5</w:t>
            </w:r>
          </w:p>
        </w:tc>
        <w:tc>
          <w:tcPr>
            <w:tcW w:type="dxa" w:w="3178"/>
          </w:tcPr>
          <w:p>
            <w:pPr>
              <w:pStyle w:val="null3"/>
            </w:pPr>
            <w:r>
              <w:rPr/>
              <w:t>其他无效响应情况</w:t>
            </w:r>
          </w:p>
        </w:tc>
        <w:tc>
          <w:tcPr>
            <w:tcW w:type="dxa" w:w="4238"/>
          </w:tcPr>
          <w:p>
            <w:pPr>
              <w:pStyle w:val="null3"/>
            </w:pPr>
            <w:r>
              <w:rPr/>
              <w:t>①投标文件没有招标文件中规定的其他无效响应条款；②投标文件无采购人不能接受的附加条件。</w:t>
            </w:r>
          </w:p>
        </w:tc>
      </w:tr>
      <w:tr>
        <w:tc>
          <w:tcPr>
            <w:tcW w:type="dxa" w:w="890"/>
          </w:tcPr>
          <w:p>
            <w:pPr>
              <w:pStyle w:val="null3"/>
            </w:pPr>
            <w:r>
              <w:rPr/>
              <w:t>6</w:t>
            </w:r>
          </w:p>
        </w:tc>
        <w:tc>
          <w:tcPr>
            <w:tcW w:type="dxa" w:w="3178"/>
          </w:tcPr>
          <w:p>
            <w:pPr>
              <w:pStyle w:val="null3"/>
            </w:pPr>
            <w:r>
              <w:rPr/>
              <w:t>兼投不兼中</w:t>
            </w:r>
          </w:p>
        </w:tc>
        <w:tc>
          <w:tcPr>
            <w:tcW w:type="dxa" w:w="4238"/>
          </w:tcPr>
          <w:p>
            <w:pPr>
              <w:pStyle w:val="null3"/>
            </w:pPr>
            <w:r>
              <w:rPr/>
              <w:t>符合兼投不兼中规则。</w:t>
            </w:r>
          </w:p>
        </w:tc>
      </w:tr>
    </w:tbl>
    <w:p>
      <w:pPr>
        <w:pStyle w:val="null3"/>
      </w:pPr>
      <w:r>
        <w:rPr/>
        <w:t>采购包3（食用农产品、生产（小作坊）环节食品抽检）：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投标文件按招标文件要求签署、盖章。</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①投标折扣率报价是固定唯一值且在0.00%-100.00%范围内取值；②投标文件未出现选择性报价或有附加条件报价的情形。</w:t>
            </w:r>
          </w:p>
        </w:tc>
      </w:tr>
      <w:tr>
        <w:tc>
          <w:tcPr>
            <w:tcW w:type="dxa" w:w="890"/>
          </w:tcPr>
          <w:p>
            <w:pPr>
              <w:pStyle w:val="null3"/>
            </w:pPr>
            <w:r>
              <w:rPr/>
              <w:t>4</w:t>
            </w:r>
          </w:p>
        </w:tc>
        <w:tc>
          <w:tcPr>
            <w:tcW w:type="dxa" w:w="3178"/>
          </w:tcPr>
          <w:p>
            <w:pPr>
              <w:pStyle w:val="null3"/>
            </w:pPr>
            <w:r>
              <w:rPr/>
              <w:t>“★”号实质性响应情况</w:t>
            </w:r>
          </w:p>
        </w:tc>
        <w:tc>
          <w:tcPr>
            <w:tcW w:type="dxa" w:w="4238"/>
          </w:tcPr>
          <w:p>
            <w:pPr>
              <w:pStyle w:val="null3"/>
            </w:pPr>
            <w:r>
              <w:rPr/>
              <w:t>投标文件完全满足招标文件的实质性条款（即标注★号条款）无负偏离。</w:t>
            </w:r>
          </w:p>
        </w:tc>
      </w:tr>
      <w:tr>
        <w:tc>
          <w:tcPr>
            <w:tcW w:type="dxa" w:w="890"/>
          </w:tcPr>
          <w:p>
            <w:pPr>
              <w:pStyle w:val="null3"/>
            </w:pPr>
            <w:r>
              <w:rPr/>
              <w:t>5</w:t>
            </w:r>
          </w:p>
        </w:tc>
        <w:tc>
          <w:tcPr>
            <w:tcW w:type="dxa" w:w="3178"/>
          </w:tcPr>
          <w:p>
            <w:pPr>
              <w:pStyle w:val="null3"/>
            </w:pPr>
            <w:r>
              <w:rPr/>
              <w:t>其他无效响应情况</w:t>
            </w:r>
          </w:p>
        </w:tc>
        <w:tc>
          <w:tcPr>
            <w:tcW w:type="dxa" w:w="4238"/>
          </w:tcPr>
          <w:p>
            <w:pPr>
              <w:pStyle w:val="null3"/>
            </w:pPr>
            <w:r>
              <w:rPr/>
              <w:t>①投标文件没有招标文件中规定的其他无效响应条款；②投标文件无采购人不能接受的附加条件。</w:t>
            </w:r>
          </w:p>
        </w:tc>
      </w:tr>
      <w:tr>
        <w:tc>
          <w:tcPr>
            <w:tcW w:type="dxa" w:w="890"/>
          </w:tcPr>
          <w:p>
            <w:pPr>
              <w:pStyle w:val="null3"/>
            </w:pPr>
            <w:r>
              <w:rPr/>
              <w:t>6</w:t>
            </w:r>
          </w:p>
        </w:tc>
        <w:tc>
          <w:tcPr>
            <w:tcW w:type="dxa" w:w="3178"/>
          </w:tcPr>
          <w:p>
            <w:pPr>
              <w:pStyle w:val="null3"/>
            </w:pPr>
            <w:r>
              <w:rPr/>
              <w:t>兼投不兼中</w:t>
            </w:r>
          </w:p>
        </w:tc>
        <w:tc>
          <w:tcPr>
            <w:tcW w:type="dxa" w:w="4238"/>
          </w:tcPr>
          <w:p>
            <w:pPr>
              <w:pStyle w:val="null3"/>
            </w:pPr>
            <w:r>
              <w:rPr/>
              <w:t>符合兼投不兼中规则。</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采购包1(食用农产品、餐饮环节食品抽检):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商务部分39.0分</w:t>
            </w:r>
          </w:p>
          <w:p>
            <w:pPr>
              <w:pStyle w:val="null3"/>
            </w:pPr>
            <w:r>
              <w:rPr/>
              <w:t>技术部分51.0分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投标人承检能力覆盖率 (9.0分)</w:t>
            </w:r>
          </w:p>
        </w:tc>
        <w:tc>
          <w:tcPr>
            <w:tcW w:type="dxa" w:w="5076"/>
          </w:tcPr>
          <w:p>
            <w:pPr>
              <w:pStyle w:val="null3"/>
              <w:jc w:val="left"/>
            </w:pPr>
            <w:r>
              <w:rPr/>
              <w:t>CMA附表对《国家食品安全监督抽检实施细则》（2024年版）覆盖情况： （1）覆盖率100%，得9分； （2）90%≤覆盖率＜100%，得6分； （3）85%≤覆盖率＜90%，得3分； （4）其他不得分。 注：投标人应提供完整附表复印件并如实填写附件二：《检验项目响应表》（加盖公章），不满足不得分。</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根据采购需求2.技术标准与要求“（三）抽样工作的实施（四）检验工作的要求（五）检验结果的处理（六）日常技术服务”中对投标人提供的项目实施方案内容（包括但不限于：①抽检方案；②报告判定原则；③结果报送方案；④异议及后处理；⑤落实均衡抽检措施；⑥备份样品处置；⑦检验过程的质量控制体系及方法；⑧风险预警分析；⑨数据质量管理与统计分析；⑩抽检工作纪律）进行评审： 1.抽检、结果报送方案内容详细具体，报告判定原则、备份样品处置、抽检工作纪律合理规范，异议及后处理、落实均衡抽检措施详细具体，检验过程的质量控制体系及方法科学有效，风险预警分析、数据质量管理与统计分析详细科学、数据准确，优于采购需求的，得10分； 2.抽检、结果报送方案内容具体，报告判定原则、备份样品处置、抽检工作纪律规范，异议及后处理、落实均衡抽检措施具体，检验过程的质量控制体系及方法有效，风险预警分析、数据质量管理与统计分析详尽、数据准确，完全满足采购需求的，得7分； 3.抽检、结果报送方案内容一般，报告判定原则、备份样品处置、抽检工作纪律一般，异议及后处理、落实均衡抽检措施一般，检验过程的质量控制体系及方法一般，风险预警分析、数据质量管理与统计分析数据准确性一般，基本满足采购需求的，得4分； 4.抽检、结果报送方案内容较为欠缺，报告判定原则、备份样品处置、抽检工作纪律内容较为欠缺，异议及后处理、落实均衡抽检措施内容较为欠缺，检验过程的质量控制体系及方法较为欠缺，风险预警分析、数据质量管理与统计分析数据准确性较差，部分满足采购需求的，得1分； 5.其他情况或未提供方案的不得分。</w:t>
            </w:r>
          </w:p>
        </w:tc>
      </w:tr>
      <w:tr>
        <w:tc>
          <w:tcPr>
            <w:tcW w:type="dxa" w:w="922"/>
            <w:gridSpan w:val="2"/>
            <w:vMerge/>
          </w:tcPr>
          <w:p/>
        </w:tc>
        <w:tc>
          <w:tcPr>
            <w:tcW w:type="dxa" w:w="2307"/>
          </w:tcPr>
          <w:p>
            <w:pPr>
              <w:pStyle w:val="null3"/>
              <w:jc w:val="left"/>
            </w:pPr>
            <w:r>
              <w:rPr/>
              <w:t>投标人拟投入项目人员和团队能力 (8.0分)</w:t>
            </w:r>
          </w:p>
        </w:tc>
        <w:tc>
          <w:tcPr>
            <w:tcW w:type="dxa" w:w="5076"/>
          </w:tcPr>
          <w:p>
            <w:pPr>
              <w:pStyle w:val="null3"/>
              <w:jc w:val="left"/>
            </w:pPr>
            <w:r>
              <w:rPr/>
              <w:t>1.投标人拟投入本项目的负责人（1人）具备生物、化学、质量、药学、食品、检验等相关专业（其中专业之一）正高级职称的，得3分；副高级职称的，得2分；中级职称的，得1分。 注：提供相关职称证书及投标截止前6个月内任意一个月的社保缴纳证明复印件，退休人员提供返聘证明材料，否则不得分。 2.除项目负责人外，拟投入人员具备生物、化学、质量、药学、食品、检验等相关专业（其中专业之一）正高级职称的，每提供1人得2分；副高级职称的，每提供1人得1分；中级职称的，每提供1人得0.5分；本项最高累计得5分，同一人员不重复计分。 注：提供相关职称证书及投标截止前6个月内任意一个月的社保缴纳证明复印件，退休人员提供返聘证明材料，否则不得分。</w:t>
            </w:r>
          </w:p>
        </w:tc>
      </w:tr>
      <w:tr>
        <w:tc>
          <w:tcPr>
            <w:tcW w:type="dxa" w:w="922"/>
            <w:gridSpan w:val="2"/>
            <w:vMerge/>
          </w:tcPr>
          <w:p/>
        </w:tc>
        <w:tc>
          <w:tcPr>
            <w:tcW w:type="dxa" w:w="2307"/>
          </w:tcPr>
          <w:p>
            <w:pPr>
              <w:pStyle w:val="null3"/>
              <w:jc w:val="left"/>
            </w:pPr>
            <w:r>
              <w:rPr/>
              <w:t>投标人拟投入食品检验设备情况 (9.0分)</w:t>
            </w:r>
          </w:p>
        </w:tc>
        <w:tc>
          <w:tcPr>
            <w:tcW w:type="dxa" w:w="5076"/>
          </w:tcPr>
          <w:p>
            <w:pPr>
              <w:pStyle w:val="null3"/>
              <w:jc w:val="left"/>
            </w:pPr>
            <w:r>
              <w:rPr/>
              <w:t>对投标人用于食品检验的仪器设备情况进行评审，每满足1项得1.5分，本项最高得9分： 1.超高效液相色谱高分辨质谱联用仪（LC-MS-MS）1台或以上； 2.气相色谱串联质谱仪（GC-MS-MS）2台或以上； 3.液相色谱串联质谱联用仪（LC-MS/MS）2台或以上； 4.气相色谱质谱联用仪（GC-MS）2台或以上； 5.电感耦合等离子体质谱仪（ICP-MS）2台或以上； 6.原子荧光光度计（AFS）1台或以上； 注：同时提供设备清单、设备照片及有效期内检定、校准证书、权属证明（如自有仪器设备的提供购买发票；如为租赁仪器设备的提供租赁合同）复印件并加盖投标人公章，未提供或提供不完整不得分。</w:t>
            </w:r>
          </w:p>
        </w:tc>
      </w:tr>
      <w:tr>
        <w:tc>
          <w:tcPr>
            <w:tcW w:type="dxa" w:w="922"/>
            <w:gridSpan w:val="2"/>
            <w:vMerge/>
          </w:tcPr>
          <w:p/>
        </w:tc>
        <w:tc>
          <w:tcPr>
            <w:tcW w:type="dxa" w:w="2307"/>
          </w:tcPr>
          <w:p>
            <w:pPr>
              <w:pStyle w:val="null3"/>
              <w:jc w:val="left"/>
            </w:pPr>
            <w:r>
              <w:rPr/>
              <w:t>投标人食品样品存储与运输保障情况 (9.0分)</w:t>
            </w:r>
          </w:p>
        </w:tc>
        <w:tc>
          <w:tcPr>
            <w:tcW w:type="dxa" w:w="5076"/>
          </w:tcPr>
          <w:p>
            <w:pPr>
              <w:pStyle w:val="null3"/>
              <w:jc w:val="left"/>
            </w:pPr>
            <w:r>
              <w:rPr/>
              <w:t>1.投标人自有或租赁食品样品专用冷链车或食品采样车配备的车载冷藏冷冻设备(可加电制冷)，具有1台或1套得1分，本小项最高得6分。 2.投标人自有或租赁样品专用冷藏冷冻库得3分,其他不得分。 注：提供设备清单、设备及车辆照片、使用权证明（如购置发票、有效期内的租赁合同、资产划拨或移交证明、权属证明复印件等）并加盖投标人公章，机动车登记证书，车辆类型以登记证的为准，未提供不得分。</w:t>
            </w:r>
          </w:p>
        </w:tc>
      </w:tr>
      <w:tr>
        <w:tc>
          <w:tcPr>
            <w:tcW w:type="dxa" w:w="922"/>
            <w:gridSpan w:val="2"/>
            <w:vMerge/>
          </w:tcPr>
          <w:p/>
        </w:tc>
        <w:tc>
          <w:tcPr>
            <w:tcW w:type="dxa" w:w="2307"/>
          </w:tcPr>
          <w:p>
            <w:pPr>
              <w:pStyle w:val="null3"/>
              <w:jc w:val="left"/>
            </w:pPr>
            <w:r>
              <w:rPr/>
              <w:t>投标人技术支撑能力 (6.0分)</w:t>
            </w:r>
          </w:p>
        </w:tc>
        <w:tc>
          <w:tcPr>
            <w:tcW w:type="dxa" w:w="5076"/>
          </w:tcPr>
          <w:p>
            <w:pPr>
              <w:pStyle w:val="null3"/>
              <w:jc w:val="left"/>
            </w:pPr>
            <w:r>
              <w:rPr/>
              <w:t>1.投标人自2022年1月1日以来具有主持或参与制定食品安全国家标准或行业标准或地方标准或团体标准经验，且已向社会公布，每提供一个得1分，本项累计最高得3分。 注：提供有效的证书或批复文件或委托合同或标准文本或方法文本复印件加盖投标人公章,未提供不得分。 2.投标人自2022年1月1日以来承担过食品（含食用农产品）、检验检测、生产加工工艺等相关科研课题的：省级（含）以上得3分；市级（含副省级）得1.5分；其他食品委托研究课题项目得0.5分；本项最高得3分。 注：提供完成相关证明材料复印件，未提供或无法认定的不得分。</w:t>
            </w:r>
          </w:p>
        </w:tc>
      </w:tr>
      <w:tr>
        <w:tc>
          <w:tcPr>
            <w:tcW w:type="dxa" w:w="922"/>
            <w:gridSpan w:val="2"/>
            <w:vMerge w:val="restart"/>
          </w:tcPr>
          <w:p>
            <w:pPr>
              <w:pStyle w:val="null3"/>
              <w:jc w:val="center"/>
            </w:pPr>
            <w:r>
              <w:rPr/>
              <w:t>商务部分</w:t>
            </w:r>
          </w:p>
        </w:tc>
        <w:tc>
          <w:tcPr>
            <w:tcW w:type="dxa" w:w="2307"/>
          </w:tcPr>
          <w:p>
            <w:pPr>
              <w:pStyle w:val="null3"/>
              <w:jc w:val="left"/>
            </w:pPr>
            <w:r>
              <w:rPr/>
              <w:t>类似业绩 (5.0分)</w:t>
            </w:r>
          </w:p>
        </w:tc>
        <w:tc>
          <w:tcPr>
            <w:tcW w:type="dxa" w:w="5076"/>
          </w:tcPr>
          <w:p>
            <w:pPr>
              <w:pStyle w:val="null3"/>
              <w:jc w:val="left"/>
            </w:pPr>
            <w:r>
              <w:rPr/>
              <w:t>2022年1月1日（以合同签订时间为准）以来独立承担过食品（含食用农产品）安全抽检监测任务的同类业绩，每提供一份得0.5分，本项最高得5分，未提供不得分。 注：提供相应的合同和中标(成交)通知书复印件加盖投标人公章，资料不齐全不得分。</w:t>
            </w:r>
          </w:p>
        </w:tc>
      </w:tr>
      <w:tr>
        <w:tc>
          <w:tcPr>
            <w:tcW w:type="dxa" w:w="922"/>
            <w:gridSpan w:val="2"/>
            <w:vMerge/>
          </w:tcPr>
          <w:p/>
        </w:tc>
        <w:tc>
          <w:tcPr>
            <w:tcW w:type="dxa" w:w="2307"/>
          </w:tcPr>
          <w:p>
            <w:pPr>
              <w:pStyle w:val="null3"/>
              <w:jc w:val="left"/>
            </w:pPr>
            <w:r>
              <w:rPr/>
              <w:t>投标人认证证书 (6.0分)</w:t>
            </w:r>
          </w:p>
        </w:tc>
        <w:tc>
          <w:tcPr>
            <w:tcW w:type="dxa" w:w="5076"/>
          </w:tcPr>
          <w:p>
            <w:pPr>
              <w:pStyle w:val="null3"/>
              <w:jc w:val="left"/>
            </w:pPr>
            <w:r>
              <w:rPr/>
              <w:t>投标人具有以下证书每项得3分，本项最高得6分： 1.具备检验机构认可的CNAS证书； 2.具有农产品质量安全检测机构考核的CATL认证。 注：提供有效证书加盖投标人公章复印件，未提供不得分。</w:t>
            </w:r>
          </w:p>
        </w:tc>
      </w:tr>
      <w:tr>
        <w:tc>
          <w:tcPr>
            <w:tcW w:type="dxa" w:w="922"/>
            <w:gridSpan w:val="2"/>
            <w:vMerge/>
          </w:tcPr>
          <w:p/>
        </w:tc>
        <w:tc>
          <w:tcPr>
            <w:tcW w:type="dxa" w:w="2307"/>
          </w:tcPr>
          <w:p>
            <w:pPr>
              <w:pStyle w:val="null3"/>
              <w:jc w:val="left"/>
            </w:pPr>
            <w:r>
              <w:rPr/>
              <w:t>食品检验实验室环境及管理情况 (8.0分)</w:t>
            </w:r>
          </w:p>
        </w:tc>
        <w:tc>
          <w:tcPr>
            <w:tcW w:type="dxa" w:w="5076"/>
          </w:tcPr>
          <w:p>
            <w:pPr>
              <w:pStyle w:val="null3"/>
              <w:jc w:val="left"/>
            </w:pPr>
            <w:r>
              <w:rPr/>
              <w:t>针对投标人承担食品（含食用农产品）检验的实验室环境情况及管理情况进行评审： 1.实验室区域划分科学合理、使用方便、节能、安全性强，内部管理制度具体完善，合理性强，得8分； 2.实验室区域划分较科学合理、使用较方便、较节能、安全性较强，内部管理制度较具体完善，合理性较强，得5分； 3.实验室区域划分基本科学合理、使用基本方便、基本节能、安全性一般，内部管理制度基本具体完善，合理性一般，得3分； 4.实验室区域划分不够科学合理、使用不方便、不节能、安全性欠缺，内部管理制度不够具体完善，合理性欠缺，得1分； 注：如自有的实验室提供提供产权证明；如为租赁的实验室设备提供租赁合同复印件，实验室区域划分部分提供相关说明及能体现评审标准的实验室现场照片；内部管理制度部分提供实验室内部管理制度复印件。未提供不得分。</w:t>
            </w:r>
          </w:p>
        </w:tc>
      </w:tr>
      <w:tr>
        <w:tc>
          <w:tcPr>
            <w:tcW w:type="dxa" w:w="922"/>
            <w:gridSpan w:val="2"/>
            <w:vMerge/>
          </w:tcPr>
          <w:p/>
        </w:tc>
        <w:tc>
          <w:tcPr>
            <w:tcW w:type="dxa" w:w="2307"/>
          </w:tcPr>
          <w:p>
            <w:pPr>
              <w:pStyle w:val="null3"/>
              <w:jc w:val="left"/>
            </w:pPr>
            <w:r>
              <w:rPr/>
              <w:t>投标人检验领域情况 (9.0分)</w:t>
            </w:r>
          </w:p>
        </w:tc>
        <w:tc>
          <w:tcPr>
            <w:tcW w:type="dxa" w:w="5076"/>
          </w:tcPr>
          <w:p>
            <w:pPr>
              <w:pStyle w:val="null3"/>
              <w:jc w:val="left"/>
            </w:pPr>
            <w:r>
              <w:rPr/>
              <w:t>1.投标人自2024年1月1日起，参加过政府监管部门或CNAS组织或CNAS认可的检测技术食品相关项目的能力验证，涵盖重金属、微生物、农兽残、添加剂\非添加剂、品质\营养成分等五个领域。涵盖五个领域结果均为满意得5分，每有一项满意得1分，本项最高得5分。 注:投标人提供能力验证结果通知复印件或证书复印件加盖投标人公章，未提供不得分。 2.投标人自2024年1月1日起，参与省级（不含副省级）或以上政府部门组织的农产品质量安全监测技术能力验证，验证覆盖种植业产品中农药残留检测、种植业产品中重金属检测，畜禽产品中兽药及禁用药物残留检测、水产品中药物残留检测，考核等级达到4A，得4分；考核等级达到3A，得3分；考核等级达到2A，得1分；其他不得分。 注：提供验证考核结果的证书或相关文件复印件并加盖投标人公章作为评分依据，未按要求提供不得分。</w:t>
            </w:r>
          </w:p>
        </w:tc>
      </w:tr>
      <w:tr>
        <w:tc>
          <w:tcPr>
            <w:tcW w:type="dxa" w:w="922"/>
            <w:gridSpan w:val="2"/>
            <w:vMerge/>
          </w:tcPr>
          <w:p/>
        </w:tc>
        <w:tc>
          <w:tcPr>
            <w:tcW w:type="dxa" w:w="2307"/>
          </w:tcPr>
          <w:p>
            <w:pPr>
              <w:pStyle w:val="null3"/>
              <w:jc w:val="left"/>
            </w:pPr>
            <w:r>
              <w:rPr/>
              <w:t>投标人应急检测保障情况 (6.0分)</w:t>
            </w:r>
          </w:p>
        </w:tc>
        <w:tc>
          <w:tcPr>
            <w:tcW w:type="dxa" w:w="5076"/>
          </w:tcPr>
          <w:p>
            <w:pPr>
              <w:pStyle w:val="null3"/>
              <w:jc w:val="left"/>
            </w:pPr>
            <w:r>
              <w:rPr/>
              <w:t>根据采购需求中2.技术标准与要求“（三）抽样工作的实施”对投标人提供的应急预案内容（包括但不限于：①工作措施、②职责分工、③应急抽检、④夜间紧急抽检、⑤突击抽检、⑥数据上报等项目内容）进行评审： 1.针对应急和突发情况的预防、应变内容完整详细，科学合理，各项应急抽检处理及保障措施详细具体清晰，可行性强的，得6分； 2.针对应急和突发情况的预防、应变内容完整，科学合理，各项应急抽检处理及保障措施详细清晰，可行性较强的，得4分； 3.针对应急和突发情况的预防、应变内容一般，各项应急抽检处理及保障措施清晰，有一定可行性的，得2分； 4.针对应急和突发情况的预防、应变内容简略，各项应急抽检处理及保障措施简单，得1分； 5.其他情况或未提供方案的不得分。</w:t>
            </w:r>
          </w:p>
        </w:tc>
      </w:tr>
      <w:tr>
        <w:tc>
          <w:tcPr>
            <w:tcW w:type="dxa" w:w="922"/>
            <w:gridSpan w:val="2"/>
            <w:vMerge/>
          </w:tcPr>
          <w:p/>
        </w:tc>
        <w:tc>
          <w:tcPr>
            <w:tcW w:type="dxa" w:w="2307"/>
          </w:tcPr>
          <w:p>
            <w:pPr>
              <w:pStyle w:val="null3"/>
              <w:jc w:val="left"/>
            </w:pPr>
            <w:r>
              <w:rPr/>
              <w:t>综合信用评价 (5.0分)</w:t>
            </w:r>
          </w:p>
        </w:tc>
        <w:tc>
          <w:tcPr>
            <w:tcW w:type="dxa" w:w="5076"/>
          </w:tcPr>
          <w:p>
            <w:pPr>
              <w:pStyle w:val="null3"/>
              <w:jc w:val="left"/>
            </w:pPr>
            <w:r>
              <w:rPr/>
              <w:t>根据《关于优化政府采购信用评价工作的通知》要求，对供应商的诚信状况（普通失信行为）进行评审，具体计算公式如下：投标供应商评审因素得分=诚信记录得分×5% 注：1.采购代理机构于投标截止时间后，在评审活动开始前，通过广东政府采购网“其他监管检查公告”栏和韶关市财政局政务信息公开网站“政府采购”栏查询投标（响应）供应商诚信状况，提供给评审委员会，由评审委员会根据上述公式的规定进行评审； 2.首次参加韶关市政府采购活动的供应商诚信管理基础得分为100分，在广东政府采购网“其他监管检查公告”栏和韶关市财政局政务信息公开网站“政府采购”栏查询不到相关供应商扣分记录的，视为该供应商年度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采购包2(食用农产品、流通环节食品抽检):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商务部分39.0分</w:t>
            </w:r>
          </w:p>
          <w:p>
            <w:pPr>
              <w:pStyle w:val="null3"/>
            </w:pPr>
            <w:r>
              <w:rPr/>
              <w:t>技术部分51.0分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投标人承检能力覆盖率 (9.0分)</w:t>
            </w:r>
          </w:p>
        </w:tc>
        <w:tc>
          <w:tcPr>
            <w:tcW w:type="dxa" w:w="5076"/>
          </w:tcPr>
          <w:p>
            <w:pPr>
              <w:pStyle w:val="null3"/>
              <w:jc w:val="left"/>
            </w:pPr>
            <w:r>
              <w:rPr/>
              <w:t>CMA附表对《国家食品安全监督抽检实施细则》（2024年版）覆盖情况： （1）覆盖率100%，得9分； （2）90%≤覆盖率＜100%，得6分； （3）85%≤覆盖率＜90%，得3分； （4）其他不得分。 注：投标人应提供完整附表复印件并如实填写附件二：《检验项目响应表》（加盖公章），不满足不得分。</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根据采购需求2.技术标准与要求“（三）抽样工作的实施（四）检验工作的要求（五）检验结果的处理（六）日常技术服务”中对投标人提供的项目实施方案内容（包括但不限于：①抽检方案；②报告判定原则；③结果报送方案；④异议及后处理；⑤落实均衡抽检措施；⑥备份样品处置；⑦检验过程的质量控制体系及方法；⑧风险预警分析；⑨数据质量管理与统计分析；⑩抽检工作纪律）进行评审： 1.抽检、结果报送方案内容详细具体，报告判定原则、备份样品处置、抽检工作纪律合理规范，异议及后处理、落实均衡抽检措施详细具体，检验过程的质量控制体系及方法科学有效，风险预警分析、数据质量管理与统计分析详细科学、数据准确，优于采购需求的，得10分； 2.抽检、结果报送方案内容具体，报告判定原则、备份样品处置、抽检工作纪律规范，异议及后处理、落实均衡抽检措施具体，检验过程的质量控制体系及方法有效，风险预警分析、数据质量管理与统计分析详尽、数据准确，完全满足采购需求的，得7分； 3.抽检、结果报送方案内容一般，报告判定原则、备份样品处置、抽检工作纪律一般，异议及后处理、落实均衡抽检措施一般，检验过程的质量控制体系及方法一般，风险预警分析、数据质量管理与统计分析数据准确性一般，基本满足采购需求的，得4分； 4.抽检、结果报送方案内容较为欠缺，报告判定原则、备份样品处置、抽检工作纪律内容较为欠缺，异议及后处理、落实均衡抽检措施内容较为欠缺，检验过程的质量控制体系及方法较为欠缺，风险预警分析、数据质量管理与统计分析数据准确性较差，部分满足采购需求的，得1分； 5.其他情况或未提供方案的不得分。</w:t>
            </w:r>
          </w:p>
        </w:tc>
      </w:tr>
      <w:tr>
        <w:tc>
          <w:tcPr>
            <w:tcW w:type="dxa" w:w="922"/>
            <w:gridSpan w:val="2"/>
            <w:vMerge/>
          </w:tcPr>
          <w:p/>
        </w:tc>
        <w:tc>
          <w:tcPr>
            <w:tcW w:type="dxa" w:w="2307"/>
          </w:tcPr>
          <w:p>
            <w:pPr>
              <w:pStyle w:val="null3"/>
              <w:jc w:val="left"/>
            </w:pPr>
            <w:r>
              <w:rPr/>
              <w:t>投标人拟投入项目人员和团队能力 (8.0分)</w:t>
            </w:r>
          </w:p>
        </w:tc>
        <w:tc>
          <w:tcPr>
            <w:tcW w:type="dxa" w:w="5076"/>
          </w:tcPr>
          <w:p>
            <w:pPr>
              <w:pStyle w:val="null3"/>
              <w:jc w:val="left"/>
            </w:pPr>
            <w:r>
              <w:rPr/>
              <w:t>1.投标人拟投入本项目的负责人（1人）具备生物、化学、质量、药学、食品、检验等相关专业（其中专业之一）正高级职称的，得3分；副高级职称的，得2分；中级职称的，得1分。 注：提供相关职称证书及投标截止前6个月内任意一个月的社保缴纳证明复印件，退休人员提供返聘证明材料，否则不得分。 2.除项目负责人外，拟投入人员具备生物、化学、质量、药学、食品、检验等相关专业（其中专业之一）正高级职称的，每提供1人得2分；副高级职称的，每提供1人得1分；中级职称的，每提供1人得0.5分；本项最高累计得5分，同一人员不重复计分。 注：提供相关职称证书及投标截止前6个月内任意一个月的社保缴纳证明复印件，退休人员提供返聘证明材料，否则不得分。</w:t>
            </w:r>
          </w:p>
        </w:tc>
      </w:tr>
      <w:tr>
        <w:tc>
          <w:tcPr>
            <w:tcW w:type="dxa" w:w="922"/>
            <w:gridSpan w:val="2"/>
            <w:vMerge/>
          </w:tcPr>
          <w:p/>
        </w:tc>
        <w:tc>
          <w:tcPr>
            <w:tcW w:type="dxa" w:w="2307"/>
          </w:tcPr>
          <w:p>
            <w:pPr>
              <w:pStyle w:val="null3"/>
              <w:jc w:val="left"/>
            </w:pPr>
            <w:r>
              <w:rPr/>
              <w:t>投标人拟投入食品检验设备情况 (9.0分)</w:t>
            </w:r>
          </w:p>
        </w:tc>
        <w:tc>
          <w:tcPr>
            <w:tcW w:type="dxa" w:w="5076"/>
          </w:tcPr>
          <w:p>
            <w:pPr>
              <w:pStyle w:val="null3"/>
              <w:jc w:val="left"/>
            </w:pPr>
            <w:r>
              <w:rPr/>
              <w:t>对投标人用于食品检验的仪器设备情况进行评审，每满足1项得1.5分，本项最高得9分： 1.超高效液相色谱高分辨质谱联用仪（LC-MS-MS）1台或以上； 2.气相色谱串联质谱仪（GC-MS-MS）2台或以上； 3.液相色谱串联质谱联用仪（LC-MS/MS）2台或以上； 4.气相色谱质谱联用仪（GC-MS）2台或以上； 5.电感耦合等离子体质谱仪（ICP-MS）2台或以上； 6.原子荧光光度计（AFS）1台或以上； 注：同时提供设备清单、设备照片及有效期内检定、校准证书、权属证明（如自有仪器设备的提供购买发票；如为租赁仪器设备的提供租赁合同）复印件并加盖投标人公章，未提供或提供不完整不得分。</w:t>
            </w:r>
          </w:p>
        </w:tc>
      </w:tr>
      <w:tr>
        <w:tc>
          <w:tcPr>
            <w:tcW w:type="dxa" w:w="922"/>
            <w:gridSpan w:val="2"/>
            <w:vMerge/>
          </w:tcPr>
          <w:p/>
        </w:tc>
        <w:tc>
          <w:tcPr>
            <w:tcW w:type="dxa" w:w="2307"/>
          </w:tcPr>
          <w:p>
            <w:pPr>
              <w:pStyle w:val="null3"/>
              <w:jc w:val="left"/>
            </w:pPr>
            <w:r>
              <w:rPr/>
              <w:t>投标人食品样品存储与运输保障情况 (9.0分)</w:t>
            </w:r>
          </w:p>
        </w:tc>
        <w:tc>
          <w:tcPr>
            <w:tcW w:type="dxa" w:w="5076"/>
          </w:tcPr>
          <w:p>
            <w:pPr>
              <w:pStyle w:val="null3"/>
              <w:jc w:val="left"/>
            </w:pPr>
            <w:r>
              <w:rPr/>
              <w:t>1.投标人自有或租赁食品样品专用冷链车或食品采样车配备的车载冷藏冷冻设备(可加电制冷)，具有1台或1套得1分，本小项最高得6分。 2.投标人自有或租赁样品专用冷藏冷冻库得3分,其他不得分。 注：提供设备清单、设备及车辆照片、使用权证明（如购置发票、有效期内的租赁合同、资产划拨或移交证明、权属证明复印件等）并加盖投标人公章，机动车登记证书，车辆类型以登记证的为准，未提供不得分。</w:t>
            </w:r>
          </w:p>
        </w:tc>
      </w:tr>
      <w:tr>
        <w:tc>
          <w:tcPr>
            <w:tcW w:type="dxa" w:w="922"/>
            <w:gridSpan w:val="2"/>
            <w:vMerge/>
          </w:tcPr>
          <w:p/>
        </w:tc>
        <w:tc>
          <w:tcPr>
            <w:tcW w:type="dxa" w:w="2307"/>
          </w:tcPr>
          <w:p>
            <w:pPr>
              <w:pStyle w:val="null3"/>
              <w:jc w:val="left"/>
            </w:pPr>
            <w:r>
              <w:rPr/>
              <w:t>投标人技术支撑能力 (6.0分)</w:t>
            </w:r>
          </w:p>
        </w:tc>
        <w:tc>
          <w:tcPr>
            <w:tcW w:type="dxa" w:w="5076"/>
          </w:tcPr>
          <w:p>
            <w:pPr>
              <w:pStyle w:val="null3"/>
              <w:jc w:val="left"/>
            </w:pPr>
            <w:r>
              <w:rPr/>
              <w:t>1.投标人自2022年1月1日以来具有主持或参与制定食品安全国家标准或行业标准或地方标准或团体标准经验，且已向社会公布，每提供一个得1分，本项累计最高得3分。 注：提供有效的证书或批复文件或委托合同或标准文本或方法文本复印件加盖投标人公章,未提供不得分。 2.投标人自2022年1月1日以来承担过食品（含食用农产品）、检验检测、生产加工工艺等相关科研课题的：省级（含）以上得3分；市级（含副省级）得1.5分；其他食品委托研究课题项目得0.5分；本项最高得3分。 注：提供完成相关证明材料复印件，未提供或无法认定的不得分。</w:t>
            </w:r>
          </w:p>
        </w:tc>
      </w:tr>
      <w:tr>
        <w:tc>
          <w:tcPr>
            <w:tcW w:type="dxa" w:w="922"/>
            <w:gridSpan w:val="2"/>
            <w:vMerge w:val="restart"/>
          </w:tcPr>
          <w:p>
            <w:pPr>
              <w:pStyle w:val="null3"/>
              <w:jc w:val="center"/>
            </w:pPr>
            <w:r>
              <w:rPr/>
              <w:t>商务部分</w:t>
            </w:r>
          </w:p>
        </w:tc>
        <w:tc>
          <w:tcPr>
            <w:tcW w:type="dxa" w:w="2307"/>
          </w:tcPr>
          <w:p>
            <w:pPr>
              <w:pStyle w:val="null3"/>
              <w:jc w:val="left"/>
            </w:pPr>
            <w:r>
              <w:rPr/>
              <w:t>类似业绩 (5.0分)</w:t>
            </w:r>
          </w:p>
        </w:tc>
        <w:tc>
          <w:tcPr>
            <w:tcW w:type="dxa" w:w="5076"/>
          </w:tcPr>
          <w:p>
            <w:pPr>
              <w:pStyle w:val="null3"/>
              <w:jc w:val="left"/>
            </w:pPr>
            <w:r>
              <w:rPr/>
              <w:t>2022年1月1日（以合同签订时间为准）以来独立承担过食品（含食用农产品）安全抽检监测任务的同类业绩，每提供一份得0.5分，本项最高得5分，未提供不得分。 注：提供相应的合同和中标(成交)通知书复印件加盖投标人公章，资料不齐全不得分。</w:t>
            </w:r>
          </w:p>
        </w:tc>
      </w:tr>
      <w:tr>
        <w:tc>
          <w:tcPr>
            <w:tcW w:type="dxa" w:w="922"/>
            <w:gridSpan w:val="2"/>
            <w:vMerge/>
          </w:tcPr>
          <w:p/>
        </w:tc>
        <w:tc>
          <w:tcPr>
            <w:tcW w:type="dxa" w:w="2307"/>
          </w:tcPr>
          <w:p>
            <w:pPr>
              <w:pStyle w:val="null3"/>
              <w:jc w:val="left"/>
            </w:pPr>
            <w:r>
              <w:rPr/>
              <w:t>投标人认证证书 (6.0分)</w:t>
            </w:r>
          </w:p>
        </w:tc>
        <w:tc>
          <w:tcPr>
            <w:tcW w:type="dxa" w:w="5076"/>
          </w:tcPr>
          <w:p>
            <w:pPr>
              <w:pStyle w:val="null3"/>
              <w:jc w:val="left"/>
            </w:pPr>
            <w:r>
              <w:rPr/>
              <w:t>投标人具有以下证书每项得3分，本项最高得6分： 1.具备检验机构认可的CNAS证书； 2.具有农产品质量安全检测机构考核的CATL认证。 注：提供有效证书加盖投标人公章复印件，未提供不得分。</w:t>
            </w:r>
          </w:p>
        </w:tc>
      </w:tr>
      <w:tr>
        <w:tc>
          <w:tcPr>
            <w:tcW w:type="dxa" w:w="922"/>
            <w:gridSpan w:val="2"/>
            <w:vMerge/>
          </w:tcPr>
          <w:p/>
        </w:tc>
        <w:tc>
          <w:tcPr>
            <w:tcW w:type="dxa" w:w="2307"/>
          </w:tcPr>
          <w:p>
            <w:pPr>
              <w:pStyle w:val="null3"/>
              <w:jc w:val="left"/>
            </w:pPr>
            <w:r>
              <w:rPr/>
              <w:t>食品检验实验室环境及管理情况 (8.0分)</w:t>
            </w:r>
          </w:p>
        </w:tc>
        <w:tc>
          <w:tcPr>
            <w:tcW w:type="dxa" w:w="5076"/>
          </w:tcPr>
          <w:p>
            <w:pPr>
              <w:pStyle w:val="null3"/>
              <w:jc w:val="left"/>
            </w:pPr>
            <w:r>
              <w:rPr/>
              <w:t>针对投标人承担食品（含食用农产品）检验的实验室环境情况及管理情况进行评审： 1.实验室区域划分科学合理、使用方便、节能、安全性强，内部管理制度具体完善，合理性强，得8分； 2.实验室区域划分较科学合理、使用较方便、较节能、安全性较强，内部管理制度较具体完善，合理性较强，得5分； 3.实验室区域划分基本科学合理、使用基本方便、基本节能、安全性一般，内部管理制度基本具体完善，合理性一般，得3分； 4.实验室区域划分不够科学合理、使用不方便、不节能、安全性欠缺，内部管理制度不够具体完善，合理性欠缺，得1分； 注：如自有的实验室提供提供产权证明；如为租赁的实验室设备提供租赁合同复印件，实验室区域划分部分提供相关说明及能体现评审标准的实验室现场照片；内部管理制度部分提供实验室内部管理制度复印件。未提供不得分。</w:t>
            </w:r>
          </w:p>
        </w:tc>
      </w:tr>
      <w:tr>
        <w:tc>
          <w:tcPr>
            <w:tcW w:type="dxa" w:w="922"/>
            <w:gridSpan w:val="2"/>
            <w:vMerge/>
          </w:tcPr>
          <w:p/>
        </w:tc>
        <w:tc>
          <w:tcPr>
            <w:tcW w:type="dxa" w:w="2307"/>
          </w:tcPr>
          <w:p>
            <w:pPr>
              <w:pStyle w:val="null3"/>
              <w:jc w:val="left"/>
            </w:pPr>
            <w:r>
              <w:rPr/>
              <w:t>投标人检验领域情况 (9.0分)</w:t>
            </w:r>
          </w:p>
        </w:tc>
        <w:tc>
          <w:tcPr>
            <w:tcW w:type="dxa" w:w="5076"/>
          </w:tcPr>
          <w:p>
            <w:pPr>
              <w:pStyle w:val="null3"/>
              <w:jc w:val="left"/>
            </w:pPr>
            <w:r>
              <w:rPr/>
              <w:t>1.投标人自2024年1月1日起，参加过政府监管部门或CNAS组织或CNAS认可的检测技术食品相关项目的能力验证，涵盖重金属、微生物、农兽残、添加剂\非添加剂、品质\营养成分等五个领域。涵盖五个领域结果均为满意得5分，每有一项满意得1分，本项最高得5分。 注:投标人提供能力验证结果通知复印件或证书复印件加盖投标人公章，未提供不得分。 2.投标人自2024年1月1日起，参与省级（不含副省级）或以上政府部门组织的农产品质量安全监测技术能力验证，验证覆盖种植业产品中农药残留检测、种植业产品中重金属检测，畜禽产品中兽药及禁用药物残留检测、水产品中药物残留检测，考核等级达到4A，得4分；考核等级达到3A，得3分；考核等级达到2A，得1分；其他不得分。 注：提供验证考核结果的证书或相关文件复印件并加盖投标人公章作为评分依据，未按要求提供不得分。</w:t>
            </w:r>
          </w:p>
        </w:tc>
      </w:tr>
      <w:tr>
        <w:tc>
          <w:tcPr>
            <w:tcW w:type="dxa" w:w="922"/>
            <w:gridSpan w:val="2"/>
            <w:vMerge/>
          </w:tcPr>
          <w:p/>
        </w:tc>
        <w:tc>
          <w:tcPr>
            <w:tcW w:type="dxa" w:w="2307"/>
          </w:tcPr>
          <w:p>
            <w:pPr>
              <w:pStyle w:val="null3"/>
              <w:jc w:val="left"/>
            </w:pPr>
            <w:r>
              <w:rPr/>
              <w:t>投标人应急检测保障情况 (6.0分)</w:t>
            </w:r>
          </w:p>
        </w:tc>
        <w:tc>
          <w:tcPr>
            <w:tcW w:type="dxa" w:w="5076"/>
          </w:tcPr>
          <w:p>
            <w:pPr>
              <w:pStyle w:val="null3"/>
              <w:jc w:val="left"/>
            </w:pPr>
            <w:r>
              <w:rPr/>
              <w:t>根据采购需求中2.技术标准与要求“（三）抽样工作的实施”对投标人提供的应急预案内容（包括但不限于：①工作措施、②职责分工、③应急抽检、④夜间紧急抽检、⑤突击抽检、⑥数据上报等项目内容）进行评审： 1.针对应急和突发情况的预防、应变内容完整详细，科学合理，各项应急抽检处理及保障措施详细具体清晰，可行性强的，得6分； 2.针对应急和突发情况的预防、应变内容完整，科学合理，各项应急抽检处理及保障措施详细清晰，可行性较强的，得4分； 3.针对应急和突发情况的预防、应变内容一般，各项应急抽检处理及保障措施清晰，有一定可行性的，得2分； 4.针对应急和突发情况的预防、应变内容简略，各项应急抽检处理及保障措施简单，得1分； 5.其他情况或未提供方案的不得分。</w:t>
            </w:r>
          </w:p>
        </w:tc>
      </w:tr>
      <w:tr>
        <w:tc>
          <w:tcPr>
            <w:tcW w:type="dxa" w:w="922"/>
            <w:gridSpan w:val="2"/>
            <w:vMerge/>
          </w:tcPr>
          <w:p/>
        </w:tc>
        <w:tc>
          <w:tcPr>
            <w:tcW w:type="dxa" w:w="2307"/>
          </w:tcPr>
          <w:p>
            <w:pPr>
              <w:pStyle w:val="null3"/>
              <w:jc w:val="left"/>
            </w:pPr>
            <w:r>
              <w:rPr/>
              <w:t>综合信用评价 (5.0分)</w:t>
            </w:r>
          </w:p>
        </w:tc>
        <w:tc>
          <w:tcPr>
            <w:tcW w:type="dxa" w:w="5076"/>
          </w:tcPr>
          <w:p>
            <w:pPr>
              <w:pStyle w:val="null3"/>
              <w:jc w:val="left"/>
            </w:pPr>
            <w:r>
              <w:rPr/>
              <w:t>根据《关于优化政府采购信用评价工作的通知》要求，对供应商的诚信状况（普通失信行为）进行评审，具体计算公式如下：投标供应商评审因素得分=诚信记录得分×5% 注：1.采购代理机构于投标截止时间后，在评审活动开始前，通过广东政府采购网“其他监管检查公告”栏和韶关市财政局政务信息公开网站“政府采购”栏查询投标（响应）供应商诚信状况，提供给评审委员会，由评审委员会根据上述公式的规定进行评审； 2.首次参加韶关市政府采购活动的供应商诚信管理基础得分为100分，在广东政府采购网“其他监管检查公告”栏和韶关市财政局政务信息公开网站“政府采购”栏查询不到相关供应商扣分记录的，视为该供应商年度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采购包3(食用农产品、生产（小作坊）环节食品抽检):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商务部分39.0分</w:t>
            </w:r>
          </w:p>
          <w:p>
            <w:pPr>
              <w:pStyle w:val="null3"/>
            </w:pPr>
            <w:r>
              <w:rPr/>
              <w:t>技术部分51.0分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投标人承检能力覆盖率 (9.0分)</w:t>
            </w:r>
          </w:p>
        </w:tc>
        <w:tc>
          <w:tcPr>
            <w:tcW w:type="dxa" w:w="5076"/>
          </w:tcPr>
          <w:p>
            <w:pPr>
              <w:pStyle w:val="null3"/>
              <w:jc w:val="left"/>
            </w:pPr>
            <w:r>
              <w:rPr/>
              <w:t>CMA附表对《国家食品安全监督抽检实施细则》（2024年版）覆盖情况： （1）覆盖率100%，得9分； （2）90%≤覆盖率＜100%，得6分； （3）85%≤覆盖率＜90%，得3分； （4）其他不得分。 注：投标人应提供完整附表复印件并如实填写附件二：《检验项目响应表》（加盖公章），不满足不得分。</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根据采购需求2.技术标准与要求“（三）抽样工作的实施（四）检验工作的要求（五）检验结果的处理（六）日常技术服务”中对投标人提供的项目实施方案内容（包括但不限于：①抽检方案；②报告判定原则；③结果报送方案；④异议及后处理；⑤落实均衡抽检措施；⑥备份样品处置；⑦检验过程的质量控制体系及方法；⑧风险预警分析；⑨数据质量管理与统计分析；⑩抽检工作纪律）进行评审： 1.抽检、结果报送方案内容详细具体，报告判定原则、备份样品处置、抽检工作纪律合理规范，异议及后处理、落实均衡抽检措施详细具体，检验过程的质量控制体系及方法科学有效，风险预警分析、数据质量管理与统计分析详细科学、数据准确，优于采购需求的，得10分； 2.抽检、结果报送方案内容具体，报告判定原则、备份样品处置、抽检工作纪律规范，异议及后处理、落实均衡抽检措施具体，检验过程的质量控制体系及方法有效，风险预警分析、数据质量管理与统计分析详尽、数据准确，完全满足采购需求的，得7分； 3.抽检、结果报送方案内容一般，报告判定原则、备份样品处置、抽检工作纪律一般，异议及后处理、落实均衡抽检措施一般，检验过程的质量控制体系及方法一般，风险预警分析、数据质量管理与统计分析数据准确性一般，基本满足采购需求的，得4分； 4.抽检、结果报送方案内容较为欠缺，报告判定原则、备份样品处置、抽检工作纪律内容较为欠缺，异议及后处理、落实均衡抽检措施内容较为欠缺，检验过程的质量控制体系及方法较为欠缺，风险预警分析、数据质量管理与统计分析数据准确性较差，部分满足采购需求的，得1分； 5.其他情况或未提供方案的不得分。</w:t>
            </w:r>
          </w:p>
        </w:tc>
      </w:tr>
      <w:tr>
        <w:tc>
          <w:tcPr>
            <w:tcW w:type="dxa" w:w="922"/>
            <w:gridSpan w:val="2"/>
            <w:vMerge/>
          </w:tcPr>
          <w:p/>
        </w:tc>
        <w:tc>
          <w:tcPr>
            <w:tcW w:type="dxa" w:w="2307"/>
          </w:tcPr>
          <w:p>
            <w:pPr>
              <w:pStyle w:val="null3"/>
              <w:jc w:val="left"/>
            </w:pPr>
            <w:r>
              <w:rPr/>
              <w:t>投标人拟投入项目人员和团队能力 (8.0分)</w:t>
            </w:r>
          </w:p>
        </w:tc>
        <w:tc>
          <w:tcPr>
            <w:tcW w:type="dxa" w:w="5076"/>
          </w:tcPr>
          <w:p>
            <w:pPr>
              <w:pStyle w:val="null3"/>
              <w:jc w:val="left"/>
            </w:pPr>
            <w:r>
              <w:rPr/>
              <w:t>1.投标人拟投入本项目的负责人（1人）具备生物、化学、质量、药学、食品、检验等相关专业（其中专业之一）正高级职称的，得3分；副高级职称的，得2分；中级职称的，得1分。 注：提供相关职称证书及投标截止前6个月内任意一个月的社保缴纳证明复印件，退休人员提供返聘证明材料，否则不得分。 2.除项目负责人外，拟投入人员具备生物、化学、质量、药学、食品、检验等相关专业（其中专业之一）正高级职称的，每提供1人得2分；副高级职称的，每提供1人得1分；中级职称的，每提供1人得0.5分；本项最高累计得5分，同一人员不重复计分。 注：提供相关职称证书及投标截止前6个月内任意一个月的社保缴纳证明复印件，退休人员提供返聘证明材料，否则不得分。</w:t>
            </w:r>
          </w:p>
        </w:tc>
      </w:tr>
      <w:tr>
        <w:tc>
          <w:tcPr>
            <w:tcW w:type="dxa" w:w="922"/>
            <w:gridSpan w:val="2"/>
            <w:vMerge/>
          </w:tcPr>
          <w:p/>
        </w:tc>
        <w:tc>
          <w:tcPr>
            <w:tcW w:type="dxa" w:w="2307"/>
          </w:tcPr>
          <w:p>
            <w:pPr>
              <w:pStyle w:val="null3"/>
              <w:jc w:val="left"/>
            </w:pPr>
            <w:r>
              <w:rPr/>
              <w:t>投标人拟投入食品检验设备情况 (9.0分)</w:t>
            </w:r>
          </w:p>
        </w:tc>
        <w:tc>
          <w:tcPr>
            <w:tcW w:type="dxa" w:w="5076"/>
          </w:tcPr>
          <w:p>
            <w:pPr>
              <w:pStyle w:val="null3"/>
              <w:jc w:val="left"/>
            </w:pPr>
            <w:r>
              <w:rPr/>
              <w:t>对投标人用于食品检验的仪器设备情况进行评审，每满足1项得1.5分，本项最高得9分： 1.超高效液相色谱高分辨质谱联用仪（LC-MS-MS）1台或以上； 2.气相色谱串联质谱仪（GC-MS-MS）2台或以上； 3.液相色谱串联质谱联用仪（LC-MS/MS）2台或以上； 4.气相色谱质谱联用仪（GC-MS）2台或以上； 5.电感耦合等离子体质谱仪（ICP-MS）2台或以上； 6.原子荧光光度计（AFS）1台或以上； 注：同时提供设备清单、设备照片及有效期内检定、校准证书、权属证明（如自有仪器设备的提供购买发票；如为租赁仪器设备的提供租赁合同）复印件并加盖投标人公章，未提供或提供不完整不得分。</w:t>
            </w:r>
          </w:p>
        </w:tc>
      </w:tr>
      <w:tr>
        <w:tc>
          <w:tcPr>
            <w:tcW w:type="dxa" w:w="922"/>
            <w:gridSpan w:val="2"/>
            <w:vMerge/>
          </w:tcPr>
          <w:p/>
        </w:tc>
        <w:tc>
          <w:tcPr>
            <w:tcW w:type="dxa" w:w="2307"/>
          </w:tcPr>
          <w:p>
            <w:pPr>
              <w:pStyle w:val="null3"/>
              <w:jc w:val="left"/>
            </w:pPr>
            <w:r>
              <w:rPr/>
              <w:t>投标人食品样品存储与运输保障情况 (9.0分)</w:t>
            </w:r>
          </w:p>
        </w:tc>
        <w:tc>
          <w:tcPr>
            <w:tcW w:type="dxa" w:w="5076"/>
          </w:tcPr>
          <w:p>
            <w:pPr>
              <w:pStyle w:val="null3"/>
              <w:jc w:val="left"/>
            </w:pPr>
            <w:r>
              <w:rPr/>
              <w:t>1.投标人自有或租赁食品样品专用冷链车或食品采样车配备的车载冷藏冷冻设备(可加电制冷)，具有1台或1套得1分，本小项最高得6分。 2.投标人自有或租赁样品专用冷藏冷冻库得3分,其他不得分。 注：提供设备清单、设备及车辆照片、使用权证明（如购置发票、有效期内的租赁合同、资产划拨或移交证明、权属证明复印件等）并加盖投标人公章，机动车登记证书，车辆类型以登记证的为准，未提供不得分。</w:t>
            </w:r>
          </w:p>
        </w:tc>
      </w:tr>
      <w:tr>
        <w:tc>
          <w:tcPr>
            <w:tcW w:type="dxa" w:w="922"/>
            <w:gridSpan w:val="2"/>
            <w:vMerge/>
          </w:tcPr>
          <w:p/>
        </w:tc>
        <w:tc>
          <w:tcPr>
            <w:tcW w:type="dxa" w:w="2307"/>
          </w:tcPr>
          <w:p>
            <w:pPr>
              <w:pStyle w:val="null3"/>
              <w:jc w:val="left"/>
            </w:pPr>
            <w:r>
              <w:rPr/>
              <w:t>投标人技术支撑能力 (6.0分)</w:t>
            </w:r>
          </w:p>
        </w:tc>
        <w:tc>
          <w:tcPr>
            <w:tcW w:type="dxa" w:w="5076"/>
          </w:tcPr>
          <w:p>
            <w:pPr>
              <w:pStyle w:val="null3"/>
              <w:jc w:val="left"/>
            </w:pPr>
            <w:r>
              <w:rPr/>
              <w:t>1.投标人自2022年1月1日以来具有主持或参与制定食品安全国家标准或行业标准或地方标准或团体标准经验，且已向社会公布，每提供一个得1分，本项累计最高得3分。 注：提供有效的证书或批复文件或委托合同或标准文本或方法文本复印件加盖投标人公章,未提供不得分。 2.投标人自2022年1月1日以来承担过食品（含食用农产品）、检验检测、生产加工工艺等相关科研课题的：省级（含）以上得3分；市级（含副省级）得1.5分；其他食品委托研究课题项目得0.5分；本项最高得3分。 注：提供完成相关证明材料复印件，未提供或无法认定的不得分。</w:t>
            </w:r>
          </w:p>
        </w:tc>
      </w:tr>
      <w:tr>
        <w:tc>
          <w:tcPr>
            <w:tcW w:type="dxa" w:w="922"/>
            <w:gridSpan w:val="2"/>
            <w:vMerge w:val="restart"/>
          </w:tcPr>
          <w:p>
            <w:pPr>
              <w:pStyle w:val="null3"/>
              <w:jc w:val="center"/>
            </w:pPr>
            <w:r>
              <w:rPr/>
              <w:t>商务部分</w:t>
            </w:r>
          </w:p>
        </w:tc>
        <w:tc>
          <w:tcPr>
            <w:tcW w:type="dxa" w:w="2307"/>
          </w:tcPr>
          <w:p>
            <w:pPr>
              <w:pStyle w:val="null3"/>
              <w:jc w:val="left"/>
            </w:pPr>
            <w:r>
              <w:rPr/>
              <w:t>类似业绩 (5.0分)</w:t>
            </w:r>
          </w:p>
        </w:tc>
        <w:tc>
          <w:tcPr>
            <w:tcW w:type="dxa" w:w="5076"/>
          </w:tcPr>
          <w:p>
            <w:pPr>
              <w:pStyle w:val="null3"/>
              <w:jc w:val="left"/>
            </w:pPr>
            <w:r>
              <w:rPr/>
              <w:t>2022年1月1日（以合同签订时间为准）以来独立承担过食品（含食用农产品）安全抽检监测任务的同类业绩，每提供一份得0.5分，本项最高得5分，未提供不得分。 注：提供相应的合同和中标(成交)通知书复印件加盖投标人公章，资料不齐全不得分。</w:t>
            </w:r>
          </w:p>
        </w:tc>
      </w:tr>
      <w:tr>
        <w:tc>
          <w:tcPr>
            <w:tcW w:type="dxa" w:w="922"/>
            <w:gridSpan w:val="2"/>
            <w:vMerge/>
          </w:tcPr>
          <w:p/>
        </w:tc>
        <w:tc>
          <w:tcPr>
            <w:tcW w:type="dxa" w:w="2307"/>
          </w:tcPr>
          <w:p>
            <w:pPr>
              <w:pStyle w:val="null3"/>
              <w:jc w:val="left"/>
            </w:pPr>
            <w:r>
              <w:rPr/>
              <w:t>投标人认证证书 (6.0分)</w:t>
            </w:r>
          </w:p>
        </w:tc>
        <w:tc>
          <w:tcPr>
            <w:tcW w:type="dxa" w:w="5076"/>
          </w:tcPr>
          <w:p>
            <w:pPr>
              <w:pStyle w:val="null3"/>
              <w:jc w:val="left"/>
            </w:pPr>
            <w:r>
              <w:rPr/>
              <w:t>投标人具有以下证书每项得3分，本项最高得6分： 1.具备检验机构认可的CNAS证书； 2.具有农产品质量安全检测机构考核的CATL认证。 注：提供有效证书加盖投标人公章复印件，未提供不得分。</w:t>
            </w:r>
          </w:p>
        </w:tc>
      </w:tr>
      <w:tr>
        <w:tc>
          <w:tcPr>
            <w:tcW w:type="dxa" w:w="922"/>
            <w:gridSpan w:val="2"/>
            <w:vMerge/>
          </w:tcPr>
          <w:p/>
        </w:tc>
        <w:tc>
          <w:tcPr>
            <w:tcW w:type="dxa" w:w="2307"/>
          </w:tcPr>
          <w:p>
            <w:pPr>
              <w:pStyle w:val="null3"/>
              <w:jc w:val="left"/>
            </w:pPr>
            <w:r>
              <w:rPr/>
              <w:t>食品检验实验室环境及管理情况 (8.0分)</w:t>
            </w:r>
          </w:p>
        </w:tc>
        <w:tc>
          <w:tcPr>
            <w:tcW w:type="dxa" w:w="5076"/>
          </w:tcPr>
          <w:p>
            <w:pPr>
              <w:pStyle w:val="null3"/>
              <w:jc w:val="left"/>
            </w:pPr>
            <w:r>
              <w:rPr/>
              <w:t>针对投标人承担食品（含食用农产品）检验的实验室环境情况及管理情况进行评审： 1.实验室区域划分科学合理、使用方便、节能、安全性强，内部管理制度具体完善，合理性强，得8分； 2.实验室区域划分较科学合理、使用较方便、较节能、安全性较强，内部管理制度较具体完善，合理性较强，得5分； 3.实验室区域划分基本科学合理、使用基本方便、基本节能、安全性一般，内部管理制度基本具体完善，合理性一般，得3分； 4.实验室区域划分不够科学合理、使用不方便、不节能、安全性欠缺，内部管理制度不够具体完善，合理性欠缺，得1分； 注：如自有的实验室提供提供产权证明；如为租赁的实验室设备提供租赁合同复印件，实验室区域划分部分提供相关说明及能体现评审标准的实验室现场照片；内部管理制度部分提供实验室内部管理制度复印件。未提供不得分。</w:t>
            </w:r>
          </w:p>
        </w:tc>
      </w:tr>
      <w:tr>
        <w:tc>
          <w:tcPr>
            <w:tcW w:type="dxa" w:w="922"/>
            <w:gridSpan w:val="2"/>
            <w:vMerge/>
          </w:tcPr>
          <w:p/>
        </w:tc>
        <w:tc>
          <w:tcPr>
            <w:tcW w:type="dxa" w:w="2307"/>
          </w:tcPr>
          <w:p>
            <w:pPr>
              <w:pStyle w:val="null3"/>
              <w:jc w:val="left"/>
            </w:pPr>
            <w:r>
              <w:rPr/>
              <w:t>投标人检验领域情况 (9.0分)</w:t>
            </w:r>
          </w:p>
        </w:tc>
        <w:tc>
          <w:tcPr>
            <w:tcW w:type="dxa" w:w="5076"/>
          </w:tcPr>
          <w:p>
            <w:pPr>
              <w:pStyle w:val="null3"/>
              <w:jc w:val="left"/>
            </w:pPr>
            <w:r>
              <w:rPr/>
              <w:t>1.投标人自2024年1月1日起，参加过政府监管部门或CNAS组织或CNAS认可的检测技术食品相关项目的能力验证，涵盖重金属、微生物、农兽残、添加剂\非添加剂、品质\营养成分等五个领域。涵盖五个领域结果均为满意得5分，每有一项满意得1分，本项最高得5分。 注:投标人提供能力验证结果通知复印件或证书复印件加盖投标人公章，未提供不得分。 2.投标人自2024年1月1日起，参与省级（不含副省级）或以上政府部门组织的农产品质量安全监测技术能力验证，验证覆盖种植业产品中农药残留检测、种植业产品中重金属检测，畜禽产品中兽药及禁用药物残留检测、水产品中药物残留检测，考核等级达到4A，得4分；考核等级达到3A，得3分；考核等级达到2A，得1分；其他不得分。 注：提供验证考核结果的证书或相关文件复印件并加盖投标人公章作为评分依据，未按要求提供不得分。</w:t>
            </w:r>
          </w:p>
        </w:tc>
      </w:tr>
      <w:tr>
        <w:tc>
          <w:tcPr>
            <w:tcW w:type="dxa" w:w="922"/>
            <w:gridSpan w:val="2"/>
            <w:vMerge/>
          </w:tcPr>
          <w:p/>
        </w:tc>
        <w:tc>
          <w:tcPr>
            <w:tcW w:type="dxa" w:w="2307"/>
          </w:tcPr>
          <w:p>
            <w:pPr>
              <w:pStyle w:val="null3"/>
              <w:jc w:val="left"/>
            </w:pPr>
            <w:r>
              <w:rPr/>
              <w:t>投标人应急检测保障情况 (6.0分)</w:t>
            </w:r>
          </w:p>
        </w:tc>
        <w:tc>
          <w:tcPr>
            <w:tcW w:type="dxa" w:w="5076"/>
          </w:tcPr>
          <w:p>
            <w:pPr>
              <w:pStyle w:val="null3"/>
              <w:jc w:val="left"/>
            </w:pPr>
            <w:r>
              <w:rPr/>
              <w:t>根据采购需求中2.技术标准与要求“（三）抽样工作的实施”对投标人提供的应急预案内容（包括但不限于：①工作措施、②职责分工、③应急抽检、④夜间紧急抽检、⑤突击抽检、⑥数据上报等项目内容）进行评审： 1.针对应急和突发情况的预防、应变内容完整详细，科学合理，各项应急抽检处理及保障措施详细具体清晰，可行性强的，得6分； 2.针对应急和突发情况的预防、应变内容完整，科学合理，各项应急抽检处理及保障措施详细清晰，可行性较强的，得4分； 3.针对应急和突发情况的预防、应变内容一般，各项应急抽检处理及保障措施清晰，有一定可行性的，得2分； 4.针对应急和突发情况的预防、应变内容简略，各项应急抽检处理及保障措施简单，得1分； 5.其他情况或未提供方案的不得分。</w:t>
            </w:r>
          </w:p>
        </w:tc>
      </w:tr>
      <w:tr>
        <w:tc>
          <w:tcPr>
            <w:tcW w:type="dxa" w:w="922"/>
            <w:gridSpan w:val="2"/>
            <w:vMerge/>
          </w:tcPr>
          <w:p/>
        </w:tc>
        <w:tc>
          <w:tcPr>
            <w:tcW w:type="dxa" w:w="2307"/>
          </w:tcPr>
          <w:p>
            <w:pPr>
              <w:pStyle w:val="null3"/>
              <w:jc w:val="left"/>
            </w:pPr>
            <w:r>
              <w:rPr/>
              <w:t>综合信用评价 (5.0分)</w:t>
            </w:r>
          </w:p>
        </w:tc>
        <w:tc>
          <w:tcPr>
            <w:tcW w:type="dxa" w:w="5076"/>
          </w:tcPr>
          <w:p>
            <w:pPr>
              <w:pStyle w:val="null3"/>
              <w:jc w:val="left"/>
            </w:pPr>
            <w:r>
              <w:rPr/>
              <w:t>根据《关于优化政府采购信用评价工作的通知》要求，对供应商的诚信状况（普通失信行为）进行评审，具体计算公式如下：投标供应商评审因素得分=诚信记录得分×5% 注：1.采购代理机构于投标截止时间后，在评审活动开始前，通过广东政府采购网“其他监管检查公告”栏和韶关市财政局政务信息公开网站“政府采购”栏查询投标（响应）供应商诚信状况，提供给评审委员会，由评审委员会根据上述公式的规定进行评审； 2.首次参加韶关市政府采购活动的供应商诚信管理基础得分为100分，在广东政府采购网“其他监管检查公告”栏和韶关市财政局政务信息公开网站“政府采购”栏查询不到相关供应商扣分记录的，视为该供应商年度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84"/>
          <w:b/>
        </w:rPr>
        <w:t>广东省政府采购</w:t>
      </w:r>
    </w:p>
    <w:p>
      <w:pPr>
        <w:pStyle w:val="null3"/>
        <w:ind w:firstLine="480"/>
        <w:jc w:val="both"/>
      </w:pPr>
      <w:r>
        <w:rPr>
          <w:sz w:val="84"/>
          <w:b/>
        </w:rPr>
        <w:t>合　同　书</w:t>
      </w:r>
    </w:p>
    <w:p>
      <w:pPr>
        <w:pStyle w:val="null3"/>
        <w:ind w:firstLine="480"/>
        <w:jc w:val="center"/>
      </w:pPr>
      <w:r>
        <w:rPr>
          <w:sz w:val="36"/>
          <w:b/>
        </w:rPr>
        <w:t>（服务类）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采购计划编号：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采购项目编号：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项目名称：</w:t>
            </w:r>
            <w:r>
              <w:rPr>
                <w:sz w:val="28"/>
                <w:b/>
                <w:u w:val="single"/>
              </w:rPr>
              <w:t>2025</w:t>
            </w:r>
            <w:r>
              <w:rPr>
                <w:sz w:val="28"/>
                <w:b/>
                <w:u w:val="single"/>
              </w:rPr>
              <w:t>年韶关市市级食品安全抽检服务项目</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合同包</w:t>
            </w:r>
            <w:r>
              <w:rPr>
                <w:sz w:val="19"/>
                <w:b/>
                <w:u w:val="single"/>
              </w:rPr>
              <w:t xml:space="preserve">   </w:t>
            </w:r>
            <w:r>
              <w:rPr>
                <w:sz w:val="28"/>
                <w:b/>
              </w:rPr>
              <w:t>：</w:t>
            </w:r>
            <w:r>
              <w:rPr>
                <w:sz w:val="19"/>
                <w:b/>
                <w:u w:val="single"/>
              </w:rPr>
              <w:t xml:space="preserve">                  </w:t>
            </w:r>
          </w:p>
        </w:tc>
      </w:tr>
    </w:tbl>
    <w:p>
      <w:pPr>
        <w:pStyle w:val="null3"/>
        <w:jc w:val="center"/>
      </w:pPr>
      <w:r>
        <w:rPr>
          <w:sz w:val="24"/>
          <w:b/>
        </w:rPr>
        <w:t>注：本合同仅为合同的参考文本，合同签订双方可根据项目的具体要求进行修订，但不得偏离实质性条款。</w:t>
      </w:r>
    </w:p>
    <w:p>
      <w:pPr>
        <w:pStyle w:val="null3"/>
        <w:ind w:firstLine="480"/>
        <w:jc w:val="both"/>
      </w:pPr>
      <w:r>
        <w:rPr>
          <w:sz w:val="24"/>
          <w:b/>
        </w:rPr>
        <w:t>甲</w:t>
      </w:r>
      <w:r>
        <w:rPr>
          <w:b/>
        </w:rPr>
        <w:t xml:space="preserve"> </w:t>
      </w:r>
      <w:r>
        <w:rPr>
          <w:sz w:val="24"/>
          <w:b/>
        </w:rPr>
        <w:t>方：</w:t>
      </w:r>
      <w:r>
        <w:rPr>
          <w:sz w:val="24"/>
          <w:u w:val="single"/>
        </w:rPr>
        <w:t>韶关市市场监督管理局</w:t>
      </w:r>
    </w:p>
    <w:p>
      <w:pPr>
        <w:pStyle w:val="null3"/>
        <w:ind w:firstLine="482"/>
        <w:jc w:val="both"/>
      </w:pPr>
      <w:r>
        <w:rPr>
          <w:sz w:val="24"/>
        </w:rPr>
        <w:t>电　话：</w:t>
      </w:r>
      <w:r>
        <w:rPr>
          <w:sz w:val="24"/>
          <w:u w:val="single"/>
        </w:rPr>
        <w:t>0751-8488016</w:t>
      </w:r>
    </w:p>
    <w:p>
      <w:pPr>
        <w:pStyle w:val="null3"/>
        <w:ind w:firstLine="482"/>
        <w:jc w:val="both"/>
      </w:pPr>
      <w:r>
        <w:rPr>
          <w:sz w:val="24"/>
        </w:rPr>
        <w:t>传　真：</w:t>
      </w:r>
      <w:r>
        <w:rPr>
          <w:sz w:val="24"/>
          <w:u w:val="single"/>
        </w:rPr>
        <w:t>0751-8488016</w:t>
      </w:r>
    </w:p>
    <w:p>
      <w:pPr>
        <w:pStyle w:val="null3"/>
        <w:ind w:firstLine="482"/>
        <w:jc w:val="both"/>
      </w:pPr>
      <w:r>
        <w:rPr>
          <w:sz w:val="24"/>
        </w:rPr>
        <w:t>地　址：</w:t>
      </w:r>
      <w:r>
        <w:rPr>
          <w:sz w:val="24"/>
          <w:u w:val="single"/>
        </w:rPr>
        <w:t>韶关市浈江区北江中路</w:t>
      </w:r>
      <w:r>
        <w:rPr>
          <w:sz w:val="24"/>
          <w:u w:val="single"/>
        </w:rPr>
        <w:t>37号</w:t>
      </w:r>
    </w:p>
    <w:p>
      <w:pPr>
        <w:pStyle w:val="null3"/>
        <w:ind w:firstLine="482"/>
        <w:jc w:val="both"/>
      </w:pPr>
      <w:r>
        <w:rPr>
          <w:sz w:val="24"/>
          <w:b/>
        </w:rPr>
        <w:t>乙</w:t>
      </w:r>
      <w:r>
        <w:rPr>
          <w:b/>
        </w:rPr>
        <w:t xml:space="preserve"> </w:t>
      </w:r>
      <w:r>
        <w:rPr>
          <w:sz w:val="24"/>
          <w:b/>
        </w:rPr>
        <w:t>方：</w:t>
      </w:r>
      <w:r>
        <w:rPr>
          <w:b/>
          <w:u w:val="single"/>
        </w:rPr>
        <w:t xml:space="preserve">                    </w:t>
      </w:r>
    </w:p>
    <w:p>
      <w:pPr>
        <w:pStyle w:val="null3"/>
        <w:ind w:firstLine="482"/>
        <w:jc w:val="both"/>
      </w:pPr>
      <w:r>
        <w:rPr>
          <w:sz w:val="24"/>
        </w:rPr>
        <w:t>电　话：</w:t>
      </w:r>
      <w:r>
        <w:rPr>
          <w:b/>
          <w:u w:val="single"/>
        </w:rPr>
        <w:t xml:space="preserve">                    </w:t>
      </w:r>
    </w:p>
    <w:p>
      <w:pPr>
        <w:pStyle w:val="null3"/>
        <w:ind w:firstLine="482"/>
        <w:jc w:val="both"/>
      </w:pPr>
      <w:r>
        <w:rPr>
          <w:sz w:val="24"/>
        </w:rPr>
        <w:t>传　真：</w:t>
      </w:r>
      <w:r>
        <w:rPr>
          <w:b/>
          <w:u w:val="single"/>
        </w:rPr>
        <w:t xml:space="preserve">                    </w:t>
      </w:r>
    </w:p>
    <w:p>
      <w:pPr>
        <w:pStyle w:val="null3"/>
        <w:ind w:firstLine="482"/>
        <w:jc w:val="both"/>
      </w:pPr>
      <w:r>
        <w:rPr>
          <w:sz w:val="24"/>
        </w:rPr>
        <w:t>地　址：</w:t>
      </w:r>
      <w:r>
        <w:rPr>
          <w:b/>
          <w:u w:val="single"/>
        </w:rPr>
        <w:t xml:space="preserve">                    </w:t>
      </w:r>
    </w:p>
    <w:p>
      <w:pPr>
        <w:pStyle w:val="null3"/>
        <w:ind w:firstLine="482"/>
        <w:jc w:val="both"/>
      </w:pPr>
      <w:r>
        <w:rPr>
          <w:sz w:val="24"/>
        </w:rPr>
        <w:t>根据</w:t>
      </w:r>
      <w:r>
        <w:rPr>
          <w:sz w:val="24"/>
          <w:b/>
          <w:u w:val="single"/>
        </w:rPr>
        <w:t>2025年韶关市市级食品安全抽检服务项目</w:t>
      </w:r>
      <w:r>
        <w:rPr>
          <w:sz w:val="24"/>
          <w:b/>
          <w:u w:val="single"/>
        </w:rPr>
        <w:t>（合同包</w:t>
      </w:r>
      <w:r>
        <w:rPr>
          <w:sz w:val="24"/>
          <w:b/>
          <w:u w:val="single"/>
        </w:rPr>
        <w:t xml:space="preserve">   </w:t>
      </w:r>
      <w:r>
        <w:rPr>
          <w:sz w:val="24"/>
          <w:b/>
          <w:u w:val="single"/>
        </w:rPr>
        <w:t>：</w:t>
      </w:r>
      <w:r>
        <w:rPr>
          <w:sz w:val="24"/>
          <w:b/>
          <w:u w:val="single"/>
        </w:rPr>
        <w:t xml:space="preserve">                  </w:t>
      </w:r>
      <w:r>
        <w:rPr>
          <w:sz w:val="24"/>
          <w:b/>
          <w:u w:val="single"/>
        </w:rPr>
        <w:t>）</w:t>
      </w:r>
      <w:r>
        <w:rPr>
          <w:sz w:val="24"/>
        </w:rPr>
        <w:t>的采购结果，</w:t>
      </w:r>
      <w:r>
        <w:rPr>
          <w:sz w:val="24"/>
        </w:rPr>
        <w:t>按照</w:t>
      </w:r>
      <w:r>
        <w:rPr>
          <w:sz w:val="24"/>
        </w:rPr>
        <w:t>《中华人民共和国政府采购法》《中华人民共和国民法典》（合同编）的规定，经双方协商，本着平等互利和诚实信用的原则，一致同意签订本合同如下。</w:t>
      </w:r>
    </w:p>
    <w:p>
      <w:pPr>
        <w:pStyle w:val="null3"/>
        <w:jc w:val="both"/>
      </w:pPr>
      <w:r>
        <w:rPr>
          <w:sz w:val="24"/>
          <w:b/>
        </w:rPr>
        <w:t>一、合同金额</w:t>
      </w:r>
      <w:r>
        <w:rPr>
          <w:sz w:val="24"/>
          <w:b/>
        </w:rPr>
        <w:t>及中标折扣率</w:t>
      </w:r>
    </w:p>
    <w:p>
      <w:pPr>
        <w:pStyle w:val="null3"/>
        <w:ind w:firstLine="480"/>
        <w:jc w:val="both"/>
      </w:pPr>
      <w:r>
        <w:rPr>
          <w:sz w:val="24"/>
        </w:rPr>
        <w:t>本项目合同金额：</w:t>
      </w:r>
      <w:r>
        <w:rPr>
          <w:sz w:val="24"/>
        </w:rPr>
        <w:t>¥</w:t>
      </w:r>
      <w:r>
        <w:rPr>
          <w:u w:val="single"/>
        </w:rPr>
        <w:t xml:space="preserve">            </w:t>
      </w:r>
      <w:r>
        <w:rPr>
          <w:sz w:val="24"/>
        </w:rPr>
        <w:t>元，大写金额：</w:t>
      </w:r>
      <w:r>
        <w:rPr>
          <w:sz w:val="24"/>
          <w:u w:val="single"/>
        </w:rPr>
        <w:t>人民币</w:t>
      </w:r>
      <w:r>
        <w:rPr>
          <w:sz w:val="24"/>
          <w:u w:val="single"/>
        </w:rPr>
        <w:t xml:space="preserve">          </w:t>
      </w:r>
      <w:r>
        <w:rPr>
          <w:sz w:val="24"/>
          <w:u w:val="single"/>
        </w:rPr>
        <w:t>元整</w:t>
      </w:r>
      <w:r>
        <w:rPr>
          <w:sz w:val="24"/>
        </w:rPr>
        <w:t>，</w:t>
      </w:r>
      <w:r>
        <w:rPr>
          <w:sz w:val="24"/>
        </w:rPr>
        <w:t>中标折扣率：</w:t>
      </w:r>
      <w:r>
        <w:rPr>
          <w:u w:val="single"/>
        </w:rPr>
        <w:t xml:space="preserve">      </w:t>
      </w:r>
      <w:r>
        <w:rPr>
          <w:sz w:val="24"/>
        </w:rPr>
        <w:t xml:space="preserve"> </w:t>
      </w:r>
      <w:r>
        <w:rPr>
          <w:sz w:val="24"/>
        </w:rPr>
        <w:t>%。</w:t>
      </w:r>
    </w:p>
    <w:p>
      <w:pPr>
        <w:pStyle w:val="null3"/>
        <w:ind w:firstLine="480"/>
        <w:jc w:val="both"/>
      </w:pPr>
      <w:r>
        <w:rPr>
          <w:sz w:val="24"/>
        </w:rPr>
        <w:t>1.单项检验项目费用参考《市场监管部门食品安全抽检监测项目检验费用参考表》（市监食检（司）函[2022]133号）为检验项目最高限价；所检项目未在市监食检（司）函[2022]133号文中定价的，以《关于下发新的广东省产品质量监督检验收费标准的通知》(粤价[2002]170号)为检验项目最高限价；所检项目未在上述文件中的，以乙方报备物价局对外收费标准或向社会公开的收费标准为检验项目最高限价；以上规定不能确定计价的，由双方协商确定。</w:t>
      </w:r>
    </w:p>
    <w:p>
      <w:pPr>
        <w:pStyle w:val="null3"/>
        <w:ind w:firstLine="470"/>
        <w:jc w:val="both"/>
      </w:pPr>
      <w:r>
        <w:rPr>
          <w:sz w:val="24"/>
        </w:rPr>
        <w:t>2.实际单项检验项目检验费=检验项目最高限价×中标折扣率。</w:t>
      </w:r>
    </w:p>
    <w:p>
      <w:pPr>
        <w:pStyle w:val="null3"/>
        <w:ind w:firstLine="470"/>
        <w:jc w:val="both"/>
      </w:pPr>
      <w:r>
        <w:rPr>
          <w:sz w:val="24"/>
        </w:rPr>
        <w:t>3.折扣后某批次检测费用（元）=折扣后该批次全部检测项目检验费用之和。食品检测费用，包含所有服务内容的费用，包括人工费、劳保费、保险费、材料费、检验费、车辆使用费、设备使用费、各种税务费、必须的辅助材料费及合同实施过程中不可预见费用等全部费用（另有约定的除外）。</w:t>
      </w:r>
    </w:p>
    <w:p>
      <w:pPr>
        <w:pStyle w:val="null3"/>
        <w:ind w:firstLine="470"/>
        <w:jc w:val="both"/>
      </w:pPr>
      <w:r>
        <w:rPr>
          <w:sz w:val="24"/>
        </w:rPr>
        <w:t>4.食品样品购买费，依据《中华人民共和国食品安全法》向被抽样单位支付样品购买费，此样品购买费由甲方承担。甲方按照乙方在采样时支付给被抽样单位的样品费（不得高于市场价）据实报销。</w:t>
      </w:r>
    </w:p>
    <w:p>
      <w:pPr>
        <w:pStyle w:val="null3"/>
        <w:ind w:firstLine="470"/>
        <w:jc w:val="both"/>
      </w:pPr>
      <w:r>
        <w:rPr>
          <w:sz w:val="24"/>
        </w:rPr>
        <w:t>5.食品抽检服务费结算价（人民币，元）=食品样品购买费与折扣后全部批次检测费用之和。本合同金额包括但不限于购样费、检验费等完成本合同内容所需所有费用。完成本合同任务总结算金额不高于本合同金额，甲方不再另行支付其他费用。</w:t>
      </w:r>
    </w:p>
    <w:p>
      <w:pPr>
        <w:pStyle w:val="null3"/>
        <w:jc w:val="both"/>
      </w:pPr>
      <w:r>
        <w:rPr>
          <w:sz w:val="24"/>
          <w:b/>
        </w:rPr>
        <w:t>二、</w:t>
      </w:r>
      <w:r>
        <w:rPr>
          <w:sz w:val="24"/>
          <w:b/>
        </w:rPr>
        <w:t>标的提供的时间及地点</w:t>
      </w:r>
    </w:p>
    <w:p>
      <w:pPr>
        <w:pStyle w:val="null3"/>
        <w:jc w:val="both"/>
      </w:pPr>
      <w:r>
        <w:rPr>
          <w:sz w:val="24"/>
        </w:rPr>
        <w:t>（</w:t>
      </w:r>
      <w:r>
        <w:rPr>
          <w:sz w:val="24"/>
        </w:rPr>
        <w:t>一</w:t>
      </w:r>
      <w:r>
        <w:rPr>
          <w:sz w:val="24"/>
        </w:rPr>
        <w:t>）标的提供的时间：</w:t>
      </w:r>
      <w:r>
        <w:rPr>
          <w:sz w:val="24"/>
        </w:rPr>
        <w:t>合同签订之日起至</w:t>
      </w:r>
      <w:r>
        <w:rPr>
          <w:sz w:val="24"/>
        </w:rPr>
        <w:t>2025年12月31日</w:t>
      </w:r>
      <w:r>
        <w:rPr>
          <w:sz w:val="24"/>
        </w:rPr>
        <w:t>。</w:t>
      </w:r>
    </w:p>
    <w:p>
      <w:pPr>
        <w:pStyle w:val="null3"/>
        <w:jc w:val="both"/>
      </w:pPr>
      <w:r>
        <w:rPr>
          <w:sz w:val="24"/>
        </w:rPr>
        <w:t>（</w:t>
      </w:r>
      <w:r>
        <w:rPr>
          <w:sz w:val="24"/>
        </w:rPr>
        <w:t>二</w:t>
      </w:r>
      <w:r>
        <w:rPr>
          <w:sz w:val="24"/>
        </w:rPr>
        <w:t>）标的提供的地点</w:t>
      </w:r>
      <w:r>
        <w:rPr>
          <w:sz w:val="24"/>
        </w:rPr>
        <w:t>：甲方指定地点</w:t>
      </w:r>
      <w:r>
        <w:rPr>
          <w:sz w:val="24"/>
        </w:rPr>
        <w:t>。</w:t>
      </w:r>
    </w:p>
    <w:p>
      <w:pPr>
        <w:pStyle w:val="null3"/>
        <w:jc w:val="both"/>
      </w:pPr>
      <w:r>
        <w:rPr>
          <w:sz w:val="24"/>
          <w:b/>
        </w:rPr>
        <w:t>三</w:t>
      </w:r>
      <w:r>
        <w:rPr>
          <w:sz w:val="24"/>
          <w:b/>
        </w:rPr>
        <w:t>、</w:t>
      </w:r>
      <w:r>
        <w:rPr>
          <w:sz w:val="24"/>
          <w:b/>
        </w:rPr>
        <w:t>基本</w:t>
      </w:r>
      <w:r>
        <w:rPr>
          <w:sz w:val="24"/>
          <w:b/>
        </w:rPr>
        <w:t>要求</w:t>
      </w:r>
    </w:p>
    <w:p>
      <w:pPr>
        <w:pStyle w:val="null3"/>
        <w:jc w:val="both"/>
      </w:pPr>
      <w:r>
        <w:rPr>
          <w:sz w:val="24"/>
        </w:rPr>
        <w:t>（一）</w:t>
      </w:r>
      <w:r>
        <w:rPr>
          <w:sz w:val="24"/>
        </w:rPr>
        <w:t>服务范围：为贯彻落实省民生实事食品抽检千人</w:t>
      </w:r>
      <w:r>
        <w:rPr>
          <w:sz w:val="24"/>
        </w:rPr>
        <w:t>6.5批次任务，根据《中华人民共和国食品安全法》和省、市食品抽检部署，完成省转移韶关市食品抽检任务，选定</w:t>
      </w:r>
      <w:r>
        <w:rPr>
          <w:sz w:val="24"/>
        </w:rPr>
        <w:t>乙方</w:t>
      </w:r>
      <w:r>
        <w:rPr>
          <w:sz w:val="24"/>
        </w:rPr>
        <w:t>作为</w:t>
      </w:r>
      <w:r>
        <w:rPr>
          <w:sz w:val="24"/>
        </w:rPr>
        <w:t>甲方</w:t>
      </w:r>
      <w:r>
        <w:rPr>
          <w:sz w:val="24"/>
        </w:rPr>
        <w:t>食品安全抽检任务的有效补充，进一步提升</w:t>
      </w:r>
      <w:r>
        <w:rPr>
          <w:sz w:val="24"/>
        </w:rPr>
        <w:t>甲方</w:t>
      </w:r>
      <w:r>
        <w:rPr>
          <w:sz w:val="24"/>
        </w:rPr>
        <w:t>食品安全抽检工作的技术支撑能力。</w:t>
      </w:r>
      <w:r>
        <w:rPr>
          <w:sz w:val="24"/>
        </w:rPr>
        <w:t>乙方</w:t>
      </w:r>
      <w:r>
        <w:rPr>
          <w:sz w:val="24"/>
        </w:rPr>
        <w:t>应能使用</w:t>
      </w:r>
      <w:r>
        <w:rPr>
          <w:sz w:val="24"/>
        </w:rPr>
        <w:t>“国家食品安全抽样检验信息系统”APP在线抽样并出具电子版检验报告。</w:t>
      </w:r>
      <w:r>
        <w:rPr>
          <w:sz w:val="24"/>
        </w:rPr>
        <w:t>乙方</w:t>
      </w:r>
      <w:r>
        <w:rPr>
          <w:sz w:val="24"/>
        </w:rPr>
        <w:t>完成</w:t>
      </w:r>
      <w:r>
        <w:rPr>
          <w:sz w:val="24"/>
        </w:rPr>
        <w:t>本合同</w:t>
      </w:r>
      <w:r>
        <w:rPr>
          <w:sz w:val="24"/>
        </w:rPr>
        <w:t>的承检任务，如在服务期内，</w:t>
      </w:r>
      <w:r>
        <w:rPr>
          <w:sz w:val="24"/>
        </w:rPr>
        <w:t>甲方</w:t>
      </w:r>
      <w:r>
        <w:rPr>
          <w:sz w:val="24"/>
        </w:rPr>
        <w:t>需下达紧急检验任务时，</w:t>
      </w:r>
      <w:r>
        <w:rPr>
          <w:sz w:val="24"/>
        </w:rPr>
        <w:t>乙方</w:t>
      </w:r>
      <w:r>
        <w:rPr>
          <w:sz w:val="24"/>
        </w:rPr>
        <w:t>应无条件配合</w:t>
      </w:r>
      <w:r>
        <w:rPr>
          <w:sz w:val="24"/>
        </w:rPr>
        <w:t>甲方</w:t>
      </w:r>
      <w:r>
        <w:rPr>
          <w:sz w:val="24"/>
        </w:rPr>
        <w:t>工作。</w:t>
      </w:r>
    </w:p>
    <w:p>
      <w:pPr>
        <w:pStyle w:val="null3"/>
        <w:jc w:val="both"/>
      </w:pPr>
      <w:r>
        <w:rPr>
          <w:sz w:val="24"/>
        </w:rPr>
        <w:t>（二）</w:t>
      </w:r>
      <w:r>
        <w:rPr>
          <w:sz w:val="24"/>
        </w:rPr>
        <w:t>服务要求：根据</w:t>
      </w:r>
      <w:r>
        <w:rPr>
          <w:sz w:val="24"/>
        </w:rPr>
        <w:t>甲方</w:t>
      </w:r>
      <w:r>
        <w:rPr>
          <w:sz w:val="24"/>
        </w:rPr>
        <w:t>的工作需求，</w:t>
      </w:r>
      <w:r>
        <w:rPr>
          <w:sz w:val="24"/>
        </w:rPr>
        <w:t>乙方</w:t>
      </w:r>
      <w:r>
        <w:rPr>
          <w:sz w:val="24"/>
        </w:rPr>
        <w:t>可以派驻联络员到</w:t>
      </w:r>
      <w:r>
        <w:rPr>
          <w:sz w:val="24"/>
        </w:rPr>
        <w:t>甲方</w:t>
      </w:r>
      <w:r>
        <w:rPr>
          <w:sz w:val="24"/>
        </w:rPr>
        <w:t>处，集中开展抽检相关工作。</w:t>
      </w:r>
    </w:p>
    <w:p>
      <w:pPr>
        <w:pStyle w:val="null3"/>
        <w:jc w:val="both"/>
      </w:pPr>
      <w:r>
        <w:rPr>
          <w:sz w:val="24"/>
        </w:rPr>
        <w:t>（三）</w:t>
      </w:r>
      <w:r>
        <w:rPr>
          <w:sz w:val="24"/>
        </w:rPr>
        <w:t>服务时间：根据</w:t>
      </w:r>
      <w:r>
        <w:rPr>
          <w:sz w:val="24"/>
        </w:rPr>
        <w:t>甲方</w:t>
      </w:r>
      <w:r>
        <w:rPr>
          <w:sz w:val="24"/>
        </w:rPr>
        <w:t>的工作要求及相关规范、标准，在规定时间内完成承检工作。</w:t>
      </w:r>
    </w:p>
    <w:p>
      <w:pPr>
        <w:pStyle w:val="null3"/>
        <w:jc w:val="both"/>
      </w:pPr>
      <w:r>
        <w:rPr>
          <w:sz w:val="24"/>
        </w:rPr>
        <w:t>（四）</w:t>
      </w:r>
      <w:r>
        <w:rPr>
          <w:sz w:val="24"/>
        </w:rPr>
        <w:t>服务标准：一般要求自收到样品之日起</w:t>
      </w:r>
      <w:r>
        <w:rPr>
          <w:sz w:val="24"/>
        </w:rPr>
        <w:t>20个工作日内出具检验报告，应急抽检应根据工作需要加快检验速度，如因特殊情况需延长检验期限的，可另行约定。</w:t>
      </w:r>
    </w:p>
    <w:p>
      <w:pPr>
        <w:pStyle w:val="null3"/>
        <w:jc w:val="both"/>
      </w:pPr>
      <w:r>
        <w:rPr>
          <w:sz w:val="24"/>
        </w:rPr>
        <w:t>（五）乙方</w:t>
      </w:r>
      <w:r>
        <w:rPr>
          <w:sz w:val="24"/>
        </w:rPr>
        <w:t>发生事业单位改革或者公司合并、分立等情况，不能以原机构名义履行合同的，拟继续履约的检验机构应及时以书面方式报告</w:t>
      </w:r>
      <w:r>
        <w:rPr>
          <w:sz w:val="24"/>
        </w:rPr>
        <w:t>甲方</w:t>
      </w:r>
      <w:r>
        <w:rPr>
          <w:sz w:val="24"/>
        </w:rPr>
        <w:t>、提供相关证明材料，经</w:t>
      </w:r>
      <w:r>
        <w:rPr>
          <w:sz w:val="24"/>
        </w:rPr>
        <w:t>甲方</w:t>
      </w:r>
      <w:r>
        <w:rPr>
          <w:sz w:val="24"/>
        </w:rPr>
        <w:t>审查并报有关部门同意后方可继续履约。</w:t>
      </w:r>
    </w:p>
    <w:p>
      <w:pPr>
        <w:pStyle w:val="null3"/>
        <w:jc w:val="both"/>
      </w:pPr>
      <w:r>
        <w:rPr>
          <w:sz w:val="24"/>
        </w:rPr>
        <w:t>（六）</w:t>
      </w:r>
      <w:r>
        <w:rPr>
          <w:sz w:val="24"/>
        </w:rPr>
        <w:t>如果在服务期内，如</w:t>
      </w:r>
      <w:r>
        <w:rPr>
          <w:sz w:val="24"/>
        </w:rPr>
        <w:t>甲方</w:t>
      </w:r>
      <w:r>
        <w:rPr>
          <w:sz w:val="24"/>
        </w:rPr>
        <w:t>下达应急、紧急检验任务时，出现需要应急抽检的项目，</w:t>
      </w:r>
      <w:r>
        <w:rPr>
          <w:sz w:val="24"/>
        </w:rPr>
        <w:t>乙方</w:t>
      </w:r>
      <w:r>
        <w:rPr>
          <w:sz w:val="24"/>
        </w:rPr>
        <w:t>必须无条件配合</w:t>
      </w:r>
      <w:r>
        <w:rPr>
          <w:sz w:val="24"/>
        </w:rPr>
        <w:t>甲方</w:t>
      </w:r>
      <w:r>
        <w:rPr>
          <w:sz w:val="24"/>
        </w:rPr>
        <w:t>的工作要求。</w:t>
      </w:r>
    </w:p>
    <w:p>
      <w:pPr>
        <w:pStyle w:val="null3"/>
        <w:jc w:val="both"/>
      </w:pPr>
      <w:r>
        <w:rPr>
          <w:sz w:val="24"/>
        </w:rPr>
        <w:t>（七）</w:t>
      </w:r>
      <w:r>
        <w:rPr>
          <w:sz w:val="24"/>
        </w:rPr>
        <w:t>未经</w:t>
      </w:r>
      <w:r>
        <w:rPr>
          <w:sz w:val="24"/>
        </w:rPr>
        <w:t>甲方</w:t>
      </w:r>
      <w:r>
        <w:rPr>
          <w:sz w:val="24"/>
        </w:rPr>
        <w:t>允许，</w:t>
      </w:r>
      <w:r>
        <w:rPr>
          <w:sz w:val="24"/>
        </w:rPr>
        <w:t>乙方</w:t>
      </w:r>
      <w:r>
        <w:rPr>
          <w:sz w:val="24"/>
        </w:rPr>
        <w:t>不得将检验任务分包，且不得将检验任务转包。特殊检验项目确需分包的，需提前向</w:t>
      </w:r>
      <w:r>
        <w:rPr>
          <w:sz w:val="24"/>
        </w:rPr>
        <w:t>甲方</w:t>
      </w:r>
      <w:r>
        <w:rPr>
          <w:sz w:val="24"/>
        </w:rPr>
        <w:t>提交书面申请，经</w:t>
      </w:r>
      <w:r>
        <w:rPr>
          <w:sz w:val="24"/>
        </w:rPr>
        <w:t>甲方</w:t>
      </w:r>
      <w:r>
        <w:rPr>
          <w:sz w:val="24"/>
        </w:rPr>
        <w:t>事先书面同意后才能分包，</w:t>
      </w:r>
      <w:r>
        <w:rPr>
          <w:sz w:val="24"/>
        </w:rPr>
        <w:t>乙方</w:t>
      </w:r>
      <w:r>
        <w:rPr>
          <w:sz w:val="24"/>
        </w:rPr>
        <w:t>须对分包内容的检测结果进行质量控制并就检测报告与分包人一起共同对</w:t>
      </w:r>
      <w:r>
        <w:rPr>
          <w:sz w:val="24"/>
        </w:rPr>
        <w:t>甲方</w:t>
      </w:r>
      <w:r>
        <w:rPr>
          <w:sz w:val="24"/>
        </w:rPr>
        <w:t>负责。</w:t>
      </w:r>
    </w:p>
    <w:p>
      <w:pPr>
        <w:pStyle w:val="null3"/>
        <w:jc w:val="both"/>
      </w:pPr>
      <w:r>
        <w:rPr>
          <w:sz w:val="24"/>
        </w:rPr>
        <w:t>（八）乙方</w:t>
      </w:r>
      <w:r>
        <w:rPr>
          <w:sz w:val="24"/>
        </w:rPr>
        <w:t>的检验任务必须由其投标文件中载明的实验室负责检验。</w:t>
      </w:r>
    </w:p>
    <w:p>
      <w:pPr>
        <w:pStyle w:val="null3"/>
        <w:jc w:val="both"/>
      </w:pPr>
      <w:r>
        <w:rPr>
          <w:sz w:val="24"/>
        </w:rPr>
        <w:t>（九）乙方</w:t>
      </w:r>
      <w:r>
        <w:rPr>
          <w:sz w:val="24"/>
        </w:rPr>
        <w:t>在进行食品抽检时，应按照《中华人民共和国食品安全法》《食品安全抽样检验工作规范》《食用农产品抽样检验和核查处置规定》《国家食品安全监督抽检实施细则》等规定进行抽检工作，自觉接受</w:t>
      </w:r>
      <w:r>
        <w:rPr>
          <w:sz w:val="24"/>
        </w:rPr>
        <w:t>甲方</w:t>
      </w:r>
      <w:r>
        <w:rPr>
          <w:sz w:val="24"/>
        </w:rPr>
        <w:t>的监督检查和评议考核工作，不得向被抽检单位收取检验费或其他任何费用，并按《中华人民共和国食品安全法》支付抽取的样品费用。</w:t>
      </w:r>
    </w:p>
    <w:p>
      <w:pPr>
        <w:pStyle w:val="null3"/>
        <w:jc w:val="both"/>
      </w:pPr>
      <w:r>
        <w:rPr>
          <w:sz w:val="24"/>
          <w:b/>
        </w:rPr>
        <w:t>四</w:t>
      </w:r>
      <w:r>
        <w:rPr>
          <w:sz w:val="24"/>
          <w:b/>
        </w:rPr>
        <w:t>、</w:t>
      </w:r>
      <w:r>
        <w:rPr>
          <w:sz w:val="24"/>
          <w:b/>
        </w:rPr>
        <w:t>服务要求</w:t>
      </w:r>
    </w:p>
    <w:p>
      <w:pPr>
        <w:pStyle w:val="null3"/>
        <w:jc w:val="both"/>
      </w:pPr>
      <w:r>
        <w:rPr>
          <w:sz w:val="24"/>
        </w:rPr>
        <w:t>（一）承检能力</w:t>
      </w:r>
    </w:p>
    <w:p>
      <w:pPr>
        <w:pStyle w:val="null3"/>
        <w:ind w:firstLine="480"/>
        <w:jc w:val="both"/>
      </w:pPr>
      <w:r>
        <w:rPr>
          <w:sz w:val="24"/>
        </w:rPr>
        <w:t>乙方</w:t>
      </w:r>
      <w:r>
        <w:rPr>
          <w:sz w:val="24"/>
        </w:rPr>
        <w:t>或其实验室必须能够承检所投采购包承检的食品类别。检验项目参照《国家食品安全监督抽检实施细则</w:t>
      </w:r>
      <w:r>
        <w:rPr>
          <w:sz w:val="24"/>
        </w:rPr>
        <w:t>(</w:t>
      </w:r>
      <w:r>
        <w:rPr>
          <w:sz w:val="24"/>
        </w:rPr>
        <w:t>2025</w:t>
      </w:r>
      <w:r>
        <w:rPr>
          <w:sz w:val="24"/>
        </w:rPr>
        <w:t>年版</w:t>
      </w:r>
      <w:r>
        <w:rPr>
          <w:sz w:val="24"/>
        </w:rPr>
        <w:t>)》</w:t>
      </w:r>
      <w:r>
        <w:rPr>
          <w:sz w:val="24"/>
        </w:rPr>
        <w:t>及本合同</w:t>
      </w:r>
      <w:r>
        <w:rPr>
          <w:sz w:val="24"/>
        </w:rPr>
        <w:t>包承检</w:t>
      </w:r>
      <w:r>
        <w:rPr>
          <w:sz w:val="24"/>
        </w:rPr>
        <w:t>任务。</w:t>
      </w:r>
    </w:p>
    <w:p>
      <w:pPr>
        <w:pStyle w:val="null3"/>
        <w:jc w:val="both"/>
      </w:pPr>
      <w:r>
        <w:rPr>
          <w:sz w:val="24"/>
        </w:rPr>
        <w:t>（二）抽检工作的实施</w:t>
      </w:r>
    </w:p>
    <w:p>
      <w:pPr>
        <w:pStyle w:val="null3"/>
        <w:ind w:firstLine="480"/>
        <w:jc w:val="both"/>
      </w:pPr>
      <w:r>
        <w:rPr>
          <w:sz w:val="24"/>
        </w:rPr>
        <w:t>乙方</w:t>
      </w:r>
      <w:r>
        <w:rPr>
          <w:sz w:val="24"/>
        </w:rPr>
        <w:t>应能使用</w:t>
      </w:r>
      <w:r>
        <w:rPr>
          <w:sz w:val="24"/>
        </w:rPr>
        <w:t>“国家食品安全抽样检验信息系统”抽样APP在线抽样以及出具电子版检验报告。严格按照时限要求将抽样检验信息录入“国家食品安全抽样检验信息系统”。</w:t>
      </w:r>
    </w:p>
    <w:p>
      <w:pPr>
        <w:pStyle w:val="null3"/>
        <w:jc w:val="both"/>
      </w:pPr>
      <w:r>
        <w:rPr>
          <w:sz w:val="24"/>
        </w:rPr>
        <w:t>（三）抽样工作的实施</w:t>
      </w:r>
    </w:p>
    <w:p>
      <w:pPr>
        <w:pStyle w:val="null3"/>
        <w:ind w:firstLine="240"/>
        <w:jc w:val="both"/>
      </w:pPr>
      <w:r>
        <w:rPr>
          <w:sz w:val="24"/>
        </w:rPr>
        <w:t>1.服务时间：自合同签订之日起至</w:t>
      </w:r>
      <w:r>
        <w:rPr>
          <w:sz w:val="24"/>
        </w:rPr>
        <w:t>2025年12月31日</w:t>
      </w:r>
      <w:r>
        <w:rPr>
          <w:sz w:val="24"/>
        </w:rPr>
        <w:t>。</w:t>
      </w:r>
    </w:p>
    <w:p>
      <w:pPr>
        <w:pStyle w:val="null3"/>
        <w:ind w:firstLine="240"/>
        <w:jc w:val="both"/>
      </w:pPr>
      <w:r>
        <w:rPr>
          <w:sz w:val="24"/>
        </w:rPr>
        <w:t>2.抽检对象：韶关市内的生产(小作坊)、餐饮、销售环节、农贸市场等食品生产经营单位。</w:t>
      </w:r>
    </w:p>
    <w:p>
      <w:pPr>
        <w:pStyle w:val="null3"/>
        <w:ind w:firstLine="240"/>
        <w:jc w:val="both"/>
      </w:pPr>
      <w:r>
        <w:rPr>
          <w:sz w:val="24"/>
        </w:rPr>
        <w:t>3.抽样单位：</w:t>
      </w:r>
      <w:r>
        <w:rPr>
          <w:sz w:val="24"/>
        </w:rPr>
        <w:t>甲方</w:t>
      </w:r>
      <w:r>
        <w:rPr>
          <w:sz w:val="24"/>
        </w:rPr>
        <w:t>依法委托</w:t>
      </w:r>
      <w:r>
        <w:rPr>
          <w:sz w:val="24"/>
        </w:rPr>
        <w:t>乙方</w:t>
      </w:r>
      <w:r>
        <w:rPr>
          <w:sz w:val="24"/>
        </w:rPr>
        <w:t>实施抽样。食品安全监督管理部门根据工作需要可以派员抽样或者监督</w:t>
      </w:r>
      <w:r>
        <w:rPr>
          <w:sz w:val="24"/>
        </w:rPr>
        <w:t>乙方</w:t>
      </w:r>
      <w:r>
        <w:rPr>
          <w:sz w:val="24"/>
        </w:rPr>
        <w:t>的抽样。</w:t>
      </w:r>
    </w:p>
    <w:p>
      <w:pPr>
        <w:pStyle w:val="null3"/>
        <w:ind w:firstLine="240"/>
        <w:jc w:val="both"/>
      </w:pPr>
      <w:r>
        <w:rPr>
          <w:sz w:val="24"/>
        </w:rPr>
        <w:t>4.抽检人员：</w:t>
      </w:r>
    </w:p>
    <w:p>
      <w:pPr>
        <w:pStyle w:val="null3"/>
        <w:ind w:firstLine="240"/>
        <w:jc w:val="both"/>
      </w:pPr>
      <w:r>
        <w:rPr>
          <w:sz w:val="24"/>
        </w:rPr>
        <w:t>（</w:t>
      </w:r>
      <w:r>
        <w:rPr>
          <w:sz w:val="24"/>
        </w:rPr>
        <w:t>1）</w:t>
      </w:r>
      <w:r>
        <w:rPr>
          <w:sz w:val="24"/>
        </w:rPr>
        <w:t>乙方</w:t>
      </w:r>
      <w:r>
        <w:rPr>
          <w:sz w:val="24"/>
        </w:rPr>
        <w:t>应有充足的抽样、检验人员，保障抽检进度，</w:t>
      </w:r>
      <w:r>
        <w:rPr>
          <w:sz w:val="24"/>
        </w:rPr>
        <w:t>并具备履行合同所需专业技术能力，</w:t>
      </w:r>
      <w:r>
        <w:rPr>
          <w:sz w:val="24"/>
        </w:rPr>
        <w:t>以满足</w:t>
      </w:r>
      <w:r>
        <w:rPr>
          <w:sz w:val="24"/>
        </w:rPr>
        <w:t>甲方</w:t>
      </w:r>
      <w:r>
        <w:rPr>
          <w:sz w:val="24"/>
        </w:rPr>
        <w:t>日常抽检和案件稽查、事故调查、应急处置等抽检需求。</w:t>
      </w:r>
    </w:p>
    <w:p>
      <w:pPr>
        <w:pStyle w:val="null3"/>
        <w:ind w:firstLine="240"/>
        <w:jc w:val="both"/>
      </w:pPr>
      <w:r>
        <w:rPr>
          <w:sz w:val="24"/>
        </w:rPr>
        <w:t>（</w:t>
      </w:r>
      <w:r>
        <w:rPr>
          <w:sz w:val="24"/>
        </w:rPr>
        <w:t>2）抽样和检验要分离。即对某一食品的抽检，</w:t>
      </w:r>
      <w:r>
        <w:rPr>
          <w:sz w:val="24"/>
        </w:rPr>
        <w:t>乙方</w:t>
      </w:r>
      <w:r>
        <w:rPr>
          <w:sz w:val="24"/>
        </w:rPr>
        <w:t>派出的抽样人员与检验人员不得为同一人。</w:t>
      </w:r>
    </w:p>
    <w:p>
      <w:pPr>
        <w:pStyle w:val="null3"/>
        <w:ind w:firstLine="240"/>
        <w:jc w:val="both"/>
      </w:pPr>
      <w:r>
        <w:rPr>
          <w:sz w:val="24"/>
        </w:rPr>
        <w:t>5.交通工具：</w:t>
      </w:r>
      <w:r>
        <w:rPr>
          <w:sz w:val="24"/>
        </w:rPr>
        <w:t>乙方</w:t>
      </w:r>
      <w:r>
        <w:rPr>
          <w:sz w:val="24"/>
        </w:rPr>
        <w:t>负责。</w:t>
      </w:r>
      <w:r>
        <w:rPr>
          <w:sz w:val="24"/>
        </w:rPr>
        <w:t>乙方</w:t>
      </w:r>
      <w:r>
        <w:rPr>
          <w:sz w:val="24"/>
        </w:rPr>
        <w:t>负责每次检验样品的运送，并具有保存样品的能力，确保样品安全。</w:t>
      </w:r>
    </w:p>
    <w:p>
      <w:pPr>
        <w:pStyle w:val="null3"/>
        <w:ind w:firstLine="240"/>
        <w:jc w:val="both"/>
      </w:pPr>
      <w:r>
        <w:rPr>
          <w:sz w:val="24"/>
        </w:rPr>
        <w:t>6.抽检任务：</w:t>
      </w:r>
    </w:p>
    <w:p>
      <w:pPr>
        <w:pStyle w:val="null3"/>
        <w:ind w:firstLine="240"/>
        <w:jc w:val="both"/>
      </w:pPr>
      <w:r>
        <w:rPr>
          <w:sz w:val="24"/>
        </w:rPr>
        <w:t>（</w:t>
      </w:r>
      <w:r>
        <w:rPr>
          <w:sz w:val="24"/>
        </w:rPr>
        <w:t>1</w:t>
      </w:r>
      <w:r>
        <w:rPr>
          <w:sz w:val="24"/>
        </w:rPr>
        <w:t>）</w:t>
      </w:r>
      <w:r>
        <w:rPr>
          <w:sz w:val="24"/>
        </w:rPr>
        <w:t>承担项目服务期内各项抽检任务，抽检品种、抽检批次</w:t>
      </w:r>
      <w:r>
        <w:rPr>
          <w:sz w:val="24"/>
        </w:rPr>
        <w:t>，</w:t>
      </w:r>
      <w:r>
        <w:rPr>
          <w:sz w:val="24"/>
        </w:rPr>
        <w:t>详见</w:t>
      </w:r>
      <w:r>
        <w:rPr>
          <w:sz w:val="24"/>
        </w:rPr>
        <w:t>《</w:t>
      </w:r>
      <w:r>
        <w:rPr>
          <w:sz w:val="24"/>
        </w:rPr>
        <w:t>附件</w:t>
      </w:r>
      <w:r>
        <w:rPr>
          <w:sz w:val="24"/>
        </w:rPr>
        <w:t>1：</w:t>
      </w:r>
      <w:r>
        <w:rPr>
          <w:sz w:val="24"/>
        </w:rPr>
        <w:t>项目采购内容清单</w:t>
      </w:r>
      <w:r>
        <w:rPr>
          <w:sz w:val="24"/>
        </w:rPr>
        <w:t>》。</w:t>
      </w:r>
    </w:p>
    <w:p>
      <w:pPr>
        <w:pStyle w:val="null3"/>
        <w:ind w:firstLine="240"/>
        <w:jc w:val="both"/>
      </w:pPr>
      <w:r>
        <w:rPr>
          <w:sz w:val="24"/>
        </w:rPr>
        <w:t>（</w:t>
      </w:r>
      <w:r>
        <w:rPr>
          <w:sz w:val="24"/>
        </w:rPr>
        <w:t>2</w:t>
      </w:r>
      <w:r>
        <w:rPr>
          <w:sz w:val="24"/>
        </w:rPr>
        <w:t>）乙方应</w:t>
      </w:r>
      <w:r>
        <w:rPr>
          <w:sz w:val="24"/>
        </w:rPr>
        <w:t>按计划和方案</w:t>
      </w:r>
      <w:r>
        <w:rPr>
          <w:sz w:val="24"/>
        </w:rPr>
        <w:t>落实均衡抽检，合理安排月度、季度抽检任务，合理分配不同品种、不同区域、不同规模、不同环节、不同企业的抽检，提升抽检效能。</w:t>
      </w:r>
    </w:p>
    <w:p>
      <w:pPr>
        <w:pStyle w:val="null3"/>
        <w:ind w:firstLine="240"/>
        <w:jc w:val="both"/>
      </w:pPr>
      <w:r>
        <w:rPr>
          <w:sz w:val="24"/>
        </w:rPr>
        <w:t>7.抽检计划：由</w:t>
      </w:r>
      <w:r>
        <w:rPr>
          <w:sz w:val="24"/>
        </w:rPr>
        <w:t>乙方</w:t>
      </w:r>
      <w:r>
        <w:rPr>
          <w:sz w:val="24"/>
        </w:rPr>
        <w:t>协助</w:t>
      </w:r>
      <w:r>
        <w:rPr>
          <w:sz w:val="24"/>
        </w:rPr>
        <w:t>甲方</w:t>
      </w:r>
      <w:r>
        <w:rPr>
          <w:sz w:val="24"/>
        </w:rPr>
        <w:t>制定具体的项目实施计划</w:t>
      </w:r>
      <w:r>
        <w:rPr>
          <w:sz w:val="24"/>
        </w:rPr>
        <w:t>和方案</w:t>
      </w:r>
      <w:r>
        <w:rPr>
          <w:sz w:val="24"/>
        </w:rPr>
        <w:t>。</w:t>
      </w:r>
    </w:p>
    <w:p>
      <w:pPr>
        <w:pStyle w:val="null3"/>
        <w:ind w:firstLine="240"/>
        <w:jc w:val="both"/>
      </w:pPr>
      <w:r>
        <w:rPr>
          <w:sz w:val="24"/>
        </w:rPr>
        <w:t>8.抽样前准备工作、抽取样品、样品运输、抽样纪律等程序：</w:t>
      </w:r>
      <w:r>
        <w:rPr>
          <w:sz w:val="24"/>
        </w:rPr>
        <w:t>甲方</w:t>
      </w:r>
      <w:r>
        <w:rPr>
          <w:sz w:val="24"/>
        </w:rPr>
        <w:t>将根据《中华人民共和国食品安全法》《食品安全抽样检验管理办法》（市场监管总局令第</w:t>
      </w:r>
      <w:r>
        <w:rPr>
          <w:sz w:val="24"/>
        </w:rPr>
        <w:t>15号）、《市场监管总局办公厅关于印发食品安全抽样检验工作规范的通知》等</w:t>
      </w:r>
      <w:r>
        <w:rPr>
          <w:sz w:val="24"/>
        </w:rPr>
        <w:t>政策法规</w:t>
      </w:r>
      <w:r>
        <w:rPr>
          <w:sz w:val="24"/>
        </w:rPr>
        <w:t>制定具体要求，供</w:t>
      </w:r>
      <w:r>
        <w:rPr>
          <w:sz w:val="24"/>
        </w:rPr>
        <w:t>乙方</w:t>
      </w:r>
      <w:r>
        <w:rPr>
          <w:sz w:val="24"/>
        </w:rPr>
        <w:t>执行。</w:t>
      </w:r>
    </w:p>
    <w:p>
      <w:pPr>
        <w:pStyle w:val="null3"/>
        <w:ind w:firstLine="240"/>
        <w:jc w:val="both"/>
      </w:pPr>
      <w:r>
        <w:rPr>
          <w:sz w:val="24"/>
        </w:rPr>
        <w:t>9.应急抽检要求：</w:t>
      </w:r>
      <w:r>
        <w:rPr>
          <w:sz w:val="24"/>
        </w:rPr>
        <w:t>乙方</w:t>
      </w:r>
      <w:r>
        <w:rPr>
          <w:sz w:val="24"/>
        </w:rPr>
        <w:t>需在</w:t>
      </w:r>
      <w:r>
        <w:rPr>
          <w:sz w:val="24"/>
        </w:rPr>
        <w:t>甲方</w:t>
      </w:r>
      <w:r>
        <w:rPr>
          <w:sz w:val="24"/>
        </w:rPr>
        <w:t>规定的时间内开展应对食品检测突发事件并委派检验员提供应急检测服务，并按</w:t>
      </w:r>
      <w:r>
        <w:rPr>
          <w:sz w:val="24"/>
        </w:rPr>
        <w:t>甲方</w:t>
      </w:r>
      <w:r>
        <w:rPr>
          <w:sz w:val="24"/>
        </w:rPr>
        <w:t>的要求进行特殊情况抽检和专项抽检，包括突发事件应急抽检、夜间紧急抽检、突击抽检、数据上报等相关服务内容。</w:t>
      </w:r>
    </w:p>
    <w:p>
      <w:pPr>
        <w:pStyle w:val="null3"/>
        <w:ind w:firstLine="240"/>
        <w:jc w:val="both"/>
      </w:pPr>
      <w:r>
        <w:rPr>
          <w:sz w:val="24"/>
        </w:rPr>
        <w:t>10.样品购买、保存和处理：</w:t>
      </w:r>
    </w:p>
    <w:p>
      <w:pPr>
        <w:pStyle w:val="null3"/>
        <w:ind w:firstLine="240"/>
        <w:jc w:val="both"/>
      </w:pPr>
      <w:r>
        <w:rPr>
          <w:sz w:val="24"/>
        </w:rPr>
        <w:t>（</w:t>
      </w:r>
      <w:r>
        <w:rPr>
          <w:sz w:val="24"/>
        </w:rPr>
        <w:t>1）监督抽检的样品应一式两份，分为检验样品和复检备份样品，由</w:t>
      </w:r>
      <w:r>
        <w:rPr>
          <w:sz w:val="24"/>
        </w:rPr>
        <w:t>乙方</w:t>
      </w:r>
      <w:r>
        <w:rPr>
          <w:sz w:val="24"/>
        </w:rPr>
        <w:t>支付购样费。</w:t>
      </w:r>
    </w:p>
    <w:p>
      <w:pPr>
        <w:pStyle w:val="null3"/>
        <w:ind w:firstLine="240"/>
        <w:jc w:val="both"/>
      </w:pPr>
      <w:r>
        <w:rPr>
          <w:sz w:val="24"/>
        </w:rPr>
        <w:t>（</w:t>
      </w:r>
      <w:r>
        <w:rPr>
          <w:sz w:val="24"/>
        </w:rPr>
        <w:t>2）</w:t>
      </w:r>
      <w:r>
        <w:rPr>
          <w:sz w:val="24"/>
        </w:rPr>
        <w:t>乙方</w:t>
      </w:r>
      <w:r>
        <w:rPr>
          <w:sz w:val="24"/>
        </w:rPr>
        <w:t>依照法律法规要求对样品进行保存。对于保存期满的复检备份样品，由</w:t>
      </w:r>
      <w:r>
        <w:rPr>
          <w:sz w:val="24"/>
        </w:rPr>
        <w:t>乙方</w:t>
      </w:r>
      <w:r>
        <w:rPr>
          <w:sz w:val="24"/>
        </w:rPr>
        <w:t>采用合法合理方式进行处理，处理</w:t>
      </w:r>
      <w:r>
        <w:rPr>
          <w:sz w:val="24"/>
        </w:rPr>
        <w:t>情况</w:t>
      </w:r>
      <w:r>
        <w:rPr>
          <w:sz w:val="24"/>
        </w:rPr>
        <w:t>报告</w:t>
      </w:r>
      <w:r>
        <w:rPr>
          <w:sz w:val="24"/>
        </w:rPr>
        <w:t>甲方</w:t>
      </w:r>
      <w:r>
        <w:rPr>
          <w:sz w:val="24"/>
        </w:rPr>
        <w:t>，并接受</w:t>
      </w:r>
      <w:r>
        <w:rPr>
          <w:sz w:val="24"/>
        </w:rPr>
        <w:t>甲方</w:t>
      </w:r>
      <w:r>
        <w:rPr>
          <w:sz w:val="24"/>
        </w:rPr>
        <w:t>监督。</w:t>
      </w:r>
    </w:p>
    <w:p>
      <w:pPr>
        <w:pStyle w:val="null3"/>
        <w:jc w:val="both"/>
      </w:pPr>
      <w:r>
        <w:rPr>
          <w:sz w:val="24"/>
        </w:rPr>
        <w:t>（四）检验工作的要求</w:t>
      </w:r>
    </w:p>
    <w:p>
      <w:pPr>
        <w:pStyle w:val="null3"/>
        <w:ind w:firstLine="240"/>
        <w:jc w:val="both"/>
      </w:pPr>
      <w:r>
        <w:rPr>
          <w:sz w:val="24"/>
        </w:rPr>
        <w:t>1.根据</w:t>
      </w:r>
      <w:r>
        <w:rPr>
          <w:sz w:val="24"/>
        </w:rPr>
        <w:t>甲方</w:t>
      </w:r>
      <w:r>
        <w:rPr>
          <w:sz w:val="24"/>
        </w:rPr>
        <w:t>的工作需求，</w:t>
      </w:r>
      <w:r>
        <w:rPr>
          <w:sz w:val="24"/>
        </w:rPr>
        <w:t>乙方</w:t>
      </w:r>
      <w:r>
        <w:rPr>
          <w:sz w:val="24"/>
        </w:rPr>
        <w:t>应派驻相关专业人员到</w:t>
      </w:r>
      <w:r>
        <w:rPr>
          <w:sz w:val="24"/>
        </w:rPr>
        <w:t>甲方</w:t>
      </w:r>
      <w:r>
        <w:rPr>
          <w:sz w:val="24"/>
        </w:rPr>
        <w:t>处，集中开展抽检相关工作。</w:t>
      </w:r>
    </w:p>
    <w:p>
      <w:pPr>
        <w:pStyle w:val="null3"/>
        <w:ind w:firstLine="240"/>
        <w:jc w:val="both"/>
      </w:pPr>
      <w:r>
        <w:rPr>
          <w:sz w:val="24"/>
        </w:rPr>
        <w:t>2</w:t>
      </w:r>
      <w:r>
        <w:rPr>
          <w:sz w:val="24"/>
        </w:rPr>
        <w:t>.食品检验由食品检验机构指定的检验人独立进行。检验人应当依照有关法律、法规的规定，并依照食品安全标准和检验规范对食品进行检验，尊重科学，恪守职业道德，保证出具的检验数据和结论客观、公正，不得出具虚假的检验报告。</w:t>
      </w:r>
    </w:p>
    <w:p>
      <w:pPr>
        <w:pStyle w:val="null3"/>
        <w:ind w:firstLine="240"/>
        <w:jc w:val="both"/>
      </w:pPr>
      <w:r>
        <w:rPr>
          <w:sz w:val="24"/>
        </w:rPr>
        <w:t>3</w:t>
      </w:r>
      <w:r>
        <w:rPr>
          <w:sz w:val="24"/>
        </w:rPr>
        <w:t>.检验时间：一般要求自收到样品之日起20个工作日内出具检验报告，如因特殊情况需延长检验期限的，可另行约定。应节应急抽检、执法抽检等有特殊时限要求的，根据</w:t>
      </w:r>
      <w:r>
        <w:rPr>
          <w:sz w:val="24"/>
        </w:rPr>
        <w:t>甲方</w:t>
      </w:r>
      <w:r>
        <w:rPr>
          <w:sz w:val="24"/>
        </w:rPr>
        <w:t>要求加快检验。</w:t>
      </w:r>
    </w:p>
    <w:p>
      <w:pPr>
        <w:pStyle w:val="null3"/>
        <w:ind w:firstLine="240"/>
        <w:jc w:val="both"/>
      </w:pPr>
      <w:r>
        <w:rPr>
          <w:sz w:val="24"/>
        </w:rPr>
        <w:t>4.乙方的检验实验室环境洁净度、设施设备应当符合国家实验室有关管理规定的要求，以保证食品检测中菌落总数、大肠菌群、霉菌等微生物项目的准确度，并具备与项目需求相匹配的检验能力，具有支撑检验任务的检验人员及仪器设备，拥有运行良好的实验室管理体系，能提供清晰、全面的检测分析方案，确保检验结果的准确可靠。</w:t>
      </w:r>
    </w:p>
    <w:p>
      <w:pPr>
        <w:pStyle w:val="null3"/>
        <w:ind w:firstLine="240"/>
        <w:jc w:val="both"/>
      </w:pPr>
      <w:r>
        <w:rPr>
          <w:sz w:val="24"/>
        </w:rPr>
        <w:t>5.检验依据：依照检测样品的国家标准。无国家标准的，可依照地方标准、行业标准，产品明示标准和质量要求，相关的法律法规、部门规章和规定等执行。</w:t>
      </w:r>
    </w:p>
    <w:p>
      <w:pPr>
        <w:pStyle w:val="null3"/>
        <w:ind w:firstLine="240"/>
        <w:jc w:val="both"/>
      </w:pPr>
      <w:r>
        <w:rPr>
          <w:sz w:val="24"/>
        </w:rPr>
        <w:t>6</w:t>
      </w:r>
      <w:r>
        <w:rPr>
          <w:sz w:val="24"/>
        </w:rPr>
        <w:t>.</w:t>
      </w:r>
      <w:r>
        <w:rPr>
          <w:sz w:val="24"/>
        </w:rPr>
        <w:t>围绕监管急需、执法急用、</w:t>
      </w:r>
      <w:r>
        <w:rPr>
          <w:sz w:val="24"/>
        </w:rPr>
        <w:t>基层实需</w:t>
      </w:r>
      <w:r>
        <w:rPr>
          <w:sz w:val="24"/>
        </w:rPr>
        <w:t>，</w:t>
      </w:r>
      <w:r>
        <w:rPr>
          <w:sz w:val="24"/>
        </w:rPr>
        <w:t>乙方</w:t>
      </w:r>
      <w:r>
        <w:rPr>
          <w:sz w:val="24"/>
        </w:rPr>
        <w:t>应了解行业发展动态，熟悉食品生产工艺</w:t>
      </w:r>
      <w:r>
        <w:rPr>
          <w:sz w:val="24"/>
        </w:rPr>
        <w:t>、</w:t>
      </w:r>
      <w:r>
        <w:rPr>
          <w:sz w:val="24"/>
        </w:rPr>
        <w:t>食品标准等</w:t>
      </w:r>
      <w:r>
        <w:rPr>
          <w:sz w:val="24"/>
        </w:rPr>
        <w:t>，具有</w:t>
      </w:r>
      <w:r>
        <w:rPr>
          <w:sz w:val="24"/>
        </w:rPr>
        <w:t>一定的</w:t>
      </w:r>
      <w:r>
        <w:rPr>
          <w:sz w:val="24"/>
        </w:rPr>
        <w:t>食品检验方法</w:t>
      </w:r>
      <w:r>
        <w:rPr>
          <w:sz w:val="24"/>
        </w:rPr>
        <w:t>、</w:t>
      </w:r>
      <w:r>
        <w:rPr>
          <w:sz w:val="24"/>
        </w:rPr>
        <w:t>标准和技术</w:t>
      </w:r>
      <w:r>
        <w:rPr>
          <w:sz w:val="24"/>
        </w:rPr>
        <w:t>研发能力，对目前暂未有判定依据的项目</w:t>
      </w:r>
      <w:r>
        <w:rPr>
          <w:sz w:val="24"/>
        </w:rPr>
        <w:t>可</w:t>
      </w:r>
      <w:r>
        <w:rPr>
          <w:sz w:val="24"/>
        </w:rPr>
        <w:t>出具检测数值、检测方法介绍、结果分析和处理建议，为应对食品突发事件和有效排查食品非法添加问题提供技术支持。</w:t>
      </w:r>
    </w:p>
    <w:p>
      <w:pPr>
        <w:pStyle w:val="null3"/>
        <w:ind w:firstLine="240"/>
        <w:jc w:val="both"/>
      </w:pPr>
      <w:r>
        <w:rPr>
          <w:sz w:val="24"/>
        </w:rPr>
        <w:t>7</w:t>
      </w:r>
      <w:r>
        <w:rPr>
          <w:sz w:val="24"/>
        </w:rPr>
        <w:t>.</w:t>
      </w:r>
      <w:r>
        <w:rPr>
          <w:sz w:val="24"/>
        </w:rPr>
        <w:t>乙方</w:t>
      </w:r>
      <w:r>
        <w:rPr>
          <w:sz w:val="24"/>
        </w:rPr>
        <w:t>应当专业操守、尽职尽责，根据</w:t>
      </w:r>
      <w:r>
        <w:rPr>
          <w:sz w:val="24"/>
        </w:rPr>
        <w:t>食品</w:t>
      </w:r>
      <w:r>
        <w:rPr>
          <w:sz w:val="24"/>
        </w:rPr>
        <w:t>相关标准进行样品的抽样、检验及判定工作，并且按当次抽检方案约定日期出具检验报告。抽检监测任务完成后，</w:t>
      </w:r>
      <w:r>
        <w:rPr>
          <w:sz w:val="24"/>
        </w:rPr>
        <w:t>乙方</w:t>
      </w:r>
      <w:r>
        <w:rPr>
          <w:sz w:val="24"/>
        </w:rPr>
        <w:t>应对所有抽检产品检验结果进行统计和分析，</w:t>
      </w:r>
      <w:r>
        <w:rPr>
          <w:sz w:val="24"/>
        </w:rPr>
        <w:t>提出</w:t>
      </w:r>
      <w:r>
        <w:rPr>
          <w:sz w:val="24"/>
        </w:rPr>
        <w:t>监管建议。</w:t>
      </w:r>
    </w:p>
    <w:p>
      <w:pPr>
        <w:pStyle w:val="null3"/>
        <w:ind w:firstLine="240"/>
        <w:jc w:val="both"/>
      </w:pPr>
      <w:r>
        <w:rPr>
          <w:sz w:val="24"/>
        </w:rPr>
        <w:t>8</w:t>
      </w:r>
      <w:r>
        <w:rPr>
          <w:sz w:val="24"/>
        </w:rPr>
        <w:t>.</w:t>
      </w:r>
      <w:r>
        <w:rPr>
          <w:sz w:val="24"/>
        </w:rPr>
        <w:t>乙方</w:t>
      </w:r>
      <w:r>
        <w:rPr>
          <w:sz w:val="24"/>
        </w:rPr>
        <w:t>须对检验结果的真实性负责，由于虚假、错误检验数据和结论造成不良影响的，</w:t>
      </w:r>
      <w:r>
        <w:rPr>
          <w:sz w:val="24"/>
        </w:rPr>
        <w:t>甲方</w:t>
      </w:r>
      <w:r>
        <w:rPr>
          <w:sz w:val="24"/>
        </w:rPr>
        <w:t>有权终止合同，并由</w:t>
      </w:r>
      <w:r>
        <w:rPr>
          <w:sz w:val="24"/>
        </w:rPr>
        <w:t>乙方</w:t>
      </w:r>
      <w:r>
        <w:rPr>
          <w:sz w:val="24"/>
        </w:rPr>
        <w:t>承担相应法律责任</w:t>
      </w:r>
      <w:r>
        <w:rPr>
          <w:sz w:val="24"/>
        </w:rPr>
        <w:t>。</w:t>
      </w:r>
    </w:p>
    <w:p>
      <w:pPr>
        <w:pStyle w:val="null3"/>
        <w:ind w:firstLine="240"/>
        <w:jc w:val="both"/>
      </w:pPr>
      <w:r>
        <w:rPr>
          <w:sz w:val="24"/>
        </w:rPr>
        <w:t>9</w:t>
      </w:r>
      <w:r>
        <w:rPr>
          <w:sz w:val="24"/>
        </w:rPr>
        <w:t>.</w:t>
      </w:r>
      <w:r>
        <w:rPr>
          <w:sz w:val="24"/>
        </w:rPr>
        <w:t>乙方</w:t>
      </w:r>
      <w:r>
        <w:rPr>
          <w:sz w:val="24"/>
        </w:rPr>
        <w:t>在开展抽检监测过程中弄虚作假或者不配合</w:t>
      </w:r>
      <w:r>
        <w:rPr>
          <w:sz w:val="24"/>
        </w:rPr>
        <w:t>甲方</w:t>
      </w:r>
      <w:r>
        <w:rPr>
          <w:sz w:val="24"/>
        </w:rPr>
        <w:t>开展工作的，</w:t>
      </w:r>
      <w:r>
        <w:rPr>
          <w:sz w:val="24"/>
        </w:rPr>
        <w:t>甲方</w:t>
      </w:r>
      <w:r>
        <w:rPr>
          <w:sz w:val="24"/>
        </w:rPr>
        <w:t>有权终止合同并追究</w:t>
      </w:r>
      <w:r>
        <w:rPr>
          <w:sz w:val="24"/>
        </w:rPr>
        <w:t>乙方</w:t>
      </w:r>
      <w:r>
        <w:rPr>
          <w:sz w:val="24"/>
        </w:rPr>
        <w:t>违约责任。</w:t>
      </w:r>
    </w:p>
    <w:p>
      <w:pPr>
        <w:pStyle w:val="null3"/>
        <w:jc w:val="both"/>
      </w:pPr>
      <w:r>
        <w:rPr>
          <w:sz w:val="24"/>
        </w:rPr>
        <w:t>（五）检验结果的处理</w:t>
      </w:r>
    </w:p>
    <w:p>
      <w:pPr>
        <w:pStyle w:val="null3"/>
        <w:ind w:firstLine="240"/>
        <w:jc w:val="both"/>
      </w:pPr>
      <w:r>
        <w:rPr>
          <w:sz w:val="24"/>
        </w:rPr>
        <w:t>1.出具检验结论、提供检验报告及有关材料的送达、告知：</w:t>
      </w:r>
      <w:r>
        <w:rPr>
          <w:sz w:val="24"/>
        </w:rPr>
        <w:t>甲方</w:t>
      </w:r>
      <w:r>
        <w:rPr>
          <w:sz w:val="24"/>
        </w:rPr>
        <w:t>将根据《中华人民共和国食品安全法》《食品安全抽样检验管理办法》</w:t>
      </w:r>
      <w:r>
        <w:rPr>
          <w:sz w:val="24"/>
        </w:rPr>
        <w:t>(市场监管总局令第15号)、《市场监管总局办公厅关于印发食品安全抽样检验工作规范的通知》等</w:t>
      </w:r>
      <w:r>
        <w:rPr>
          <w:sz w:val="24"/>
        </w:rPr>
        <w:t>政策法规</w:t>
      </w:r>
      <w:r>
        <w:rPr>
          <w:sz w:val="24"/>
        </w:rPr>
        <w:t>制定具体要求，供</w:t>
      </w:r>
      <w:r>
        <w:rPr>
          <w:sz w:val="24"/>
        </w:rPr>
        <w:t>乙方</w:t>
      </w:r>
      <w:r>
        <w:rPr>
          <w:sz w:val="24"/>
        </w:rPr>
        <w:t>执行。</w:t>
      </w:r>
    </w:p>
    <w:p>
      <w:pPr>
        <w:pStyle w:val="null3"/>
        <w:ind w:firstLine="240"/>
        <w:jc w:val="both"/>
      </w:pPr>
      <w:r>
        <w:rPr>
          <w:sz w:val="24"/>
        </w:rPr>
        <w:t>2.检验结果的评估：</w:t>
      </w:r>
      <w:r>
        <w:rPr>
          <w:sz w:val="24"/>
        </w:rPr>
        <w:t>乙方</w:t>
      </w:r>
      <w:r>
        <w:rPr>
          <w:sz w:val="24"/>
        </w:rPr>
        <w:t>应指派专人负责整理、分类、汇总抽检数据。</w:t>
      </w:r>
      <w:r>
        <w:rPr>
          <w:sz w:val="24"/>
        </w:rPr>
        <w:t>乙方</w:t>
      </w:r>
      <w:r>
        <w:rPr>
          <w:sz w:val="24"/>
        </w:rPr>
        <w:t>要对不合格项目进行原因及危害性分析评估，并出具分析评估报告，提出下一步检测意见和建议。发生食品安全突发事件时，</w:t>
      </w:r>
      <w:r>
        <w:rPr>
          <w:sz w:val="24"/>
        </w:rPr>
        <w:t>乙方</w:t>
      </w:r>
      <w:r>
        <w:rPr>
          <w:sz w:val="24"/>
        </w:rPr>
        <w:t>应配合做好分析评估工作，为</w:t>
      </w:r>
      <w:r>
        <w:rPr>
          <w:sz w:val="24"/>
        </w:rPr>
        <w:t>甲方</w:t>
      </w:r>
      <w:r>
        <w:rPr>
          <w:sz w:val="24"/>
        </w:rPr>
        <w:t>的决策提供技术依据。</w:t>
      </w:r>
    </w:p>
    <w:p>
      <w:pPr>
        <w:pStyle w:val="null3"/>
        <w:ind w:firstLine="240"/>
        <w:jc w:val="both"/>
      </w:pPr>
      <w:r>
        <w:rPr>
          <w:sz w:val="24"/>
        </w:rPr>
        <w:t>3.对被抽检单位异议的处理以及复检：</w:t>
      </w:r>
    </w:p>
    <w:p>
      <w:pPr>
        <w:pStyle w:val="null3"/>
        <w:ind w:firstLine="240"/>
        <w:jc w:val="both"/>
      </w:pPr>
      <w:r>
        <w:rPr>
          <w:sz w:val="24"/>
        </w:rPr>
        <w:t>（</w:t>
      </w:r>
      <w:r>
        <w:rPr>
          <w:sz w:val="24"/>
        </w:rPr>
        <w:t>1）协助</w:t>
      </w:r>
      <w:r>
        <w:rPr>
          <w:sz w:val="24"/>
        </w:rPr>
        <w:t>甲方</w:t>
      </w:r>
      <w:r>
        <w:rPr>
          <w:sz w:val="24"/>
        </w:rPr>
        <w:t>处理被抽检单位提出的异议申请。</w:t>
      </w:r>
    </w:p>
    <w:p>
      <w:pPr>
        <w:pStyle w:val="null3"/>
        <w:ind w:firstLine="240"/>
        <w:jc w:val="both"/>
      </w:pPr>
      <w:r>
        <w:rPr>
          <w:sz w:val="24"/>
        </w:rPr>
        <w:t>（</w:t>
      </w:r>
      <w:r>
        <w:rPr>
          <w:sz w:val="24"/>
        </w:rPr>
        <w:t>2）初检机构配合有关复检工作，复检机构依法开展复检工作。</w:t>
      </w:r>
    </w:p>
    <w:p>
      <w:pPr>
        <w:pStyle w:val="null3"/>
        <w:ind w:firstLine="240"/>
        <w:jc w:val="both"/>
      </w:pPr>
      <w:r>
        <w:rPr>
          <w:sz w:val="24"/>
        </w:rPr>
        <w:t>（</w:t>
      </w:r>
      <w:r>
        <w:rPr>
          <w:sz w:val="24"/>
        </w:rPr>
        <w:t>3）具备复检机构资格的</w:t>
      </w:r>
      <w:r>
        <w:rPr>
          <w:sz w:val="24"/>
        </w:rPr>
        <w:t>乙方</w:t>
      </w:r>
      <w:r>
        <w:rPr>
          <w:sz w:val="24"/>
        </w:rPr>
        <w:t>，在接到</w:t>
      </w:r>
      <w:r>
        <w:rPr>
          <w:sz w:val="24"/>
        </w:rPr>
        <w:t>甲方</w:t>
      </w:r>
      <w:r>
        <w:rPr>
          <w:sz w:val="24"/>
        </w:rPr>
        <w:t>指定的复检任务时，应予以受理。特殊情况不能接受的，复检</w:t>
      </w:r>
      <w:r>
        <w:rPr>
          <w:sz w:val="24"/>
        </w:rPr>
        <w:t>乙方</w:t>
      </w:r>
      <w:r>
        <w:rPr>
          <w:sz w:val="24"/>
        </w:rPr>
        <w:t>应说明理由并与</w:t>
      </w:r>
      <w:r>
        <w:rPr>
          <w:sz w:val="24"/>
        </w:rPr>
        <w:t>甲方</w:t>
      </w:r>
      <w:r>
        <w:rPr>
          <w:sz w:val="24"/>
        </w:rPr>
        <w:t>协商解决。复检机构由</w:t>
      </w:r>
      <w:r>
        <w:rPr>
          <w:sz w:val="24"/>
        </w:rPr>
        <w:t>甲方</w:t>
      </w:r>
      <w:r>
        <w:rPr>
          <w:sz w:val="24"/>
        </w:rPr>
        <w:t>指定。</w:t>
      </w:r>
    </w:p>
    <w:p>
      <w:pPr>
        <w:pStyle w:val="null3"/>
        <w:ind w:firstLine="240"/>
        <w:jc w:val="both"/>
      </w:pPr>
      <w:r>
        <w:rPr>
          <w:sz w:val="24"/>
        </w:rPr>
        <w:t>（</w:t>
      </w:r>
      <w:r>
        <w:rPr>
          <w:sz w:val="24"/>
        </w:rPr>
        <w:t>4）复检结论与初检结论不一致的，复检费用由初检机构承担；复检结论与初检结论一致的，复检费用由复检申请人承担。</w:t>
      </w:r>
    </w:p>
    <w:p>
      <w:pPr>
        <w:pStyle w:val="null3"/>
        <w:ind w:firstLine="240"/>
        <w:jc w:val="both"/>
      </w:pPr>
      <w:r>
        <w:rPr>
          <w:sz w:val="24"/>
        </w:rPr>
        <w:t>4.涉及抽检的全部情况包括数据及结果，</w:t>
      </w:r>
      <w:r>
        <w:rPr>
          <w:sz w:val="24"/>
        </w:rPr>
        <w:t>乙方</w:t>
      </w:r>
      <w:r>
        <w:rPr>
          <w:sz w:val="24"/>
        </w:rPr>
        <w:t>必须保密，不得向除</w:t>
      </w:r>
      <w:r>
        <w:rPr>
          <w:sz w:val="24"/>
        </w:rPr>
        <w:t>甲方</w:t>
      </w:r>
      <w:r>
        <w:rPr>
          <w:sz w:val="24"/>
        </w:rPr>
        <w:t>以外的任何单位与个人透露情况。</w:t>
      </w:r>
    </w:p>
    <w:p>
      <w:pPr>
        <w:pStyle w:val="null3"/>
        <w:ind w:firstLine="240"/>
        <w:jc w:val="both"/>
      </w:pPr>
      <w:r>
        <w:rPr>
          <w:sz w:val="24"/>
        </w:rPr>
        <w:t>5.为保证检验报告及有关公文的顺利送达，邮寄必须选择EMS或顺丰速运。邮寄所需费用由</w:t>
      </w:r>
      <w:r>
        <w:rPr>
          <w:sz w:val="24"/>
        </w:rPr>
        <w:t>乙方</w:t>
      </w:r>
      <w:r>
        <w:rPr>
          <w:sz w:val="24"/>
        </w:rPr>
        <w:t>支付。</w:t>
      </w:r>
    </w:p>
    <w:p>
      <w:pPr>
        <w:pStyle w:val="null3"/>
        <w:jc w:val="both"/>
      </w:pPr>
      <w:r>
        <w:rPr>
          <w:sz w:val="24"/>
        </w:rPr>
        <w:t>（六）日常技术服务</w:t>
      </w:r>
    </w:p>
    <w:p>
      <w:pPr>
        <w:pStyle w:val="null3"/>
        <w:ind w:firstLine="240"/>
        <w:jc w:val="both"/>
      </w:pPr>
      <w:r>
        <w:rPr>
          <w:sz w:val="24"/>
        </w:rPr>
        <w:t>乙方</w:t>
      </w:r>
      <w:r>
        <w:rPr>
          <w:sz w:val="24"/>
        </w:rPr>
        <w:t>根据</w:t>
      </w:r>
      <w:r>
        <w:rPr>
          <w:sz w:val="24"/>
        </w:rPr>
        <w:t>甲方</w:t>
      </w:r>
      <w:r>
        <w:rPr>
          <w:sz w:val="24"/>
        </w:rPr>
        <w:t>的工作需求，提供以下技术服务：</w:t>
      </w:r>
    </w:p>
    <w:p>
      <w:pPr>
        <w:pStyle w:val="null3"/>
        <w:ind w:firstLine="240"/>
        <w:jc w:val="both"/>
      </w:pPr>
      <w:r>
        <w:rPr>
          <w:sz w:val="24"/>
        </w:rPr>
        <w:t>1.组织专家对抽检数据进行分析，协助组织编撰分析报告，提出监管建议。</w:t>
      </w:r>
    </w:p>
    <w:p>
      <w:pPr>
        <w:pStyle w:val="null3"/>
        <w:ind w:firstLine="240"/>
        <w:jc w:val="both"/>
      </w:pPr>
      <w:r>
        <w:rPr>
          <w:sz w:val="24"/>
        </w:rPr>
        <w:t>2.提升前沿检测分析，安排专家接受风险交流、科研研讨、课题研究，参与补充检验方法的制订、验证或使用，为应对突发事件和有效排查非法添加问题提供技术支持。</w:t>
      </w:r>
    </w:p>
    <w:p>
      <w:pPr>
        <w:pStyle w:val="null3"/>
        <w:ind w:firstLine="240"/>
        <w:jc w:val="both"/>
      </w:pPr>
      <w:r>
        <w:rPr>
          <w:sz w:val="24"/>
        </w:rPr>
        <w:t>3.负责食品安全宣传活动中的咨询、检测、宣讲等服务。</w:t>
      </w:r>
    </w:p>
    <w:p>
      <w:pPr>
        <w:pStyle w:val="null3"/>
        <w:ind w:firstLine="240"/>
        <w:jc w:val="both"/>
      </w:pPr>
      <w:r>
        <w:rPr>
          <w:sz w:val="24"/>
        </w:rPr>
        <w:t>4.抽检系统、新闻发布、危机应对、技能竞赛等技术支持。</w:t>
      </w:r>
    </w:p>
    <w:p>
      <w:pPr>
        <w:pStyle w:val="null3"/>
        <w:ind w:firstLine="240"/>
        <w:jc w:val="both"/>
      </w:pPr>
      <w:r>
        <w:rPr>
          <w:sz w:val="24"/>
        </w:rPr>
        <w:t>5.组织开展“你点我检”“百姓点检日”线上线下活动。</w:t>
      </w:r>
    </w:p>
    <w:p>
      <w:pPr>
        <w:pStyle w:val="null3"/>
        <w:ind w:firstLine="240"/>
        <w:jc w:val="both"/>
      </w:pPr>
      <w:r>
        <w:rPr>
          <w:sz w:val="24"/>
        </w:rPr>
        <w:t>6.接收</w:t>
      </w:r>
      <w:r>
        <w:rPr>
          <w:sz w:val="24"/>
        </w:rPr>
        <w:t>甲方</w:t>
      </w:r>
      <w:r>
        <w:rPr>
          <w:sz w:val="24"/>
        </w:rPr>
        <w:t>委托的应急应节抽检、复检等技术任务。</w:t>
      </w:r>
    </w:p>
    <w:p>
      <w:pPr>
        <w:pStyle w:val="null3"/>
        <w:ind w:firstLine="240"/>
        <w:jc w:val="both"/>
      </w:pPr>
      <w:r>
        <w:rPr>
          <w:sz w:val="24"/>
        </w:rPr>
        <w:t>7.其他根据工作提出的技术服务。</w:t>
      </w:r>
    </w:p>
    <w:p>
      <w:pPr>
        <w:pStyle w:val="null3"/>
        <w:jc w:val="both"/>
      </w:pPr>
      <w:r>
        <w:rPr>
          <w:sz w:val="24"/>
        </w:rPr>
        <w:t>（七）其他</w:t>
      </w:r>
      <w:r>
        <w:rPr>
          <w:sz w:val="24"/>
        </w:rPr>
        <w:t>要求</w:t>
      </w:r>
      <w:r>
        <w:rPr/>
        <w:t xml:space="preserve"> </w:t>
      </w:r>
    </w:p>
    <w:p>
      <w:pPr>
        <w:pStyle w:val="null3"/>
        <w:ind w:firstLine="240"/>
        <w:jc w:val="both"/>
      </w:pPr>
      <w:r>
        <w:rPr>
          <w:sz w:val="24"/>
        </w:rPr>
        <w:t>1.</w:t>
      </w:r>
      <w:r>
        <w:rPr>
          <w:sz w:val="24"/>
        </w:rPr>
        <w:t>乙方</w:t>
      </w:r>
      <w:r>
        <w:rPr>
          <w:sz w:val="24"/>
        </w:rPr>
        <w:t>应建立食品检验业务信息化系统，与</w:t>
      </w:r>
      <w:r>
        <w:rPr>
          <w:sz w:val="24"/>
        </w:rPr>
        <w:t>甲方</w:t>
      </w:r>
      <w:r>
        <w:rPr>
          <w:sz w:val="24"/>
        </w:rPr>
        <w:t>的食品抽样检验系统实现有效对接，并按照</w:t>
      </w:r>
      <w:r>
        <w:rPr>
          <w:sz w:val="24"/>
        </w:rPr>
        <w:t>甲方</w:t>
      </w:r>
      <w:r>
        <w:rPr>
          <w:sz w:val="24"/>
        </w:rPr>
        <w:t>要求按时将有关数据、材料导入或录入食品抽样检验系统；收集、整理、保存数据，随时备查。</w:t>
      </w:r>
    </w:p>
    <w:p>
      <w:pPr>
        <w:pStyle w:val="null3"/>
        <w:ind w:firstLine="240"/>
        <w:jc w:val="both"/>
      </w:pPr>
      <w:r>
        <w:rPr>
          <w:sz w:val="24"/>
        </w:rPr>
        <w:t>2</w:t>
      </w:r>
      <w:r>
        <w:rPr>
          <w:sz w:val="24"/>
        </w:rPr>
        <w:t>.根据工作需要和财政实际下达资金的情况，</w:t>
      </w:r>
      <w:r>
        <w:rPr>
          <w:sz w:val="24"/>
        </w:rPr>
        <w:t>甲方</w:t>
      </w:r>
      <w:r>
        <w:rPr>
          <w:sz w:val="24"/>
        </w:rPr>
        <w:t>对各</w:t>
      </w:r>
      <w:r>
        <w:rPr>
          <w:sz w:val="24"/>
        </w:rPr>
        <w:t>乙方</w:t>
      </w:r>
      <w:r>
        <w:rPr>
          <w:sz w:val="24"/>
        </w:rPr>
        <w:t>的承检任务及经费可以适当调整，</w:t>
      </w:r>
      <w:r>
        <w:rPr>
          <w:sz w:val="24"/>
        </w:rPr>
        <w:t>乙方</w:t>
      </w:r>
      <w:r>
        <w:rPr>
          <w:sz w:val="24"/>
        </w:rPr>
        <w:t>应当予以支持。</w:t>
      </w:r>
    </w:p>
    <w:p>
      <w:pPr>
        <w:pStyle w:val="null3"/>
        <w:ind w:firstLine="240"/>
        <w:jc w:val="both"/>
      </w:pPr>
      <w:r>
        <w:rPr>
          <w:sz w:val="24"/>
        </w:rPr>
        <w:t>3</w:t>
      </w:r>
      <w:r>
        <w:rPr>
          <w:sz w:val="24"/>
        </w:rPr>
        <w:t>.本项目需求中未作细化详尽的地方，</w:t>
      </w:r>
      <w:r>
        <w:rPr>
          <w:sz w:val="24"/>
        </w:rPr>
        <w:t>甲方</w:t>
      </w:r>
      <w:r>
        <w:rPr>
          <w:sz w:val="24"/>
        </w:rPr>
        <w:t>将在抽检开始前制定具体的要求，</w:t>
      </w:r>
      <w:r>
        <w:rPr>
          <w:sz w:val="24"/>
        </w:rPr>
        <w:t>乙方</w:t>
      </w:r>
      <w:r>
        <w:rPr>
          <w:sz w:val="24"/>
        </w:rPr>
        <w:t>应遵守执行；当政策法规发生调整或者工作形势发生变更，</w:t>
      </w:r>
      <w:r>
        <w:rPr>
          <w:sz w:val="24"/>
        </w:rPr>
        <w:t>甲方</w:t>
      </w:r>
      <w:r>
        <w:rPr>
          <w:sz w:val="24"/>
        </w:rPr>
        <w:t>可以调整有关抽检操作要求，</w:t>
      </w:r>
      <w:r>
        <w:rPr>
          <w:sz w:val="24"/>
        </w:rPr>
        <w:t>乙方</w:t>
      </w:r>
      <w:r>
        <w:rPr>
          <w:sz w:val="24"/>
        </w:rPr>
        <w:t>应按</w:t>
      </w:r>
      <w:r>
        <w:rPr>
          <w:sz w:val="24"/>
        </w:rPr>
        <w:t>甲方</w:t>
      </w:r>
      <w:r>
        <w:rPr>
          <w:sz w:val="24"/>
        </w:rPr>
        <w:t>要求实施。</w:t>
      </w:r>
    </w:p>
    <w:p>
      <w:pPr>
        <w:pStyle w:val="null3"/>
        <w:jc w:val="both"/>
      </w:pPr>
      <w:r>
        <w:rPr>
          <w:sz w:val="24"/>
          <w:b/>
        </w:rPr>
        <w:t>五</w:t>
      </w:r>
      <w:r>
        <w:rPr>
          <w:sz w:val="24"/>
          <w:b/>
        </w:rPr>
        <w:t>、</w:t>
      </w:r>
      <w:r>
        <w:rPr>
          <w:sz w:val="24"/>
          <w:b/>
        </w:rPr>
        <w:t>验收要求</w:t>
      </w:r>
    </w:p>
    <w:p>
      <w:pPr>
        <w:pStyle w:val="null3"/>
        <w:ind w:firstLine="480"/>
        <w:jc w:val="both"/>
      </w:pPr>
      <w:r>
        <w:rPr>
          <w:sz w:val="24"/>
        </w:rPr>
        <w:t>食品检验由食品检验机构指定的检验人独立进行；检验人应当依照有关法律、法规的规定，并依照食品安全标准和检验规范对食品进行检验，保证出具的检验数据和结论客观、公正，不得出具虚假的检验报告。项目完成后，</w:t>
      </w:r>
      <w:r>
        <w:rPr>
          <w:sz w:val="24"/>
        </w:rPr>
        <w:t>甲方</w:t>
      </w:r>
      <w:r>
        <w:rPr>
          <w:sz w:val="24"/>
        </w:rPr>
        <w:t>按照单位采购管理制度，</w:t>
      </w:r>
      <w:r>
        <w:rPr>
          <w:sz w:val="24"/>
        </w:rPr>
        <w:t>组织验收小组对各包组完成情况进行验收</w:t>
      </w:r>
      <w:r>
        <w:rPr>
          <w:sz w:val="24"/>
        </w:rPr>
        <w:t>。</w:t>
      </w:r>
    </w:p>
    <w:p>
      <w:pPr>
        <w:pStyle w:val="null3"/>
        <w:jc w:val="both"/>
      </w:pPr>
      <w:r>
        <w:rPr>
          <w:sz w:val="24"/>
          <w:b/>
        </w:rPr>
        <w:t>六</w:t>
      </w:r>
      <w:r>
        <w:rPr>
          <w:sz w:val="24"/>
          <w:b/>
        </w:rPr>
        <w:t>、</w:t>
      </w:r>
      <w:r>
        <w:rPr>
          <w:sz w:val="24"/>
          <w:b/>
        </w:rPr>
        <w:t>付款方式</w:t>
      </w:r>
    </w:p>
    <w:p>
      <w:pPr>
        <w:pStyle w:val="null3"/>
        <w:jc w:val="both"/>
      </w:pPr>
      <w:r>
        <w:rPr>
          <w:sz w:val="24"/>
        </w:rPr>
        <w:t>（</w:t>
      </w:r>
      <w:r>
        <w:rPr>
          <w:sz w:val="24"/>
        </w:rPr>
        <w:t>一</w:t>
      </w:r>
      <w:r>
        <w:rPr>
          <w:sz w:val="24"/>
        </w:rPr>
        <w:t>）支付比例</w:t>
      </w:r>
      <w:r>
        <w:rPr>
          <w:sz w:val="24"/>
        </w:rPr>
        <w:t>50%，甲方与乙方签订合同且收到发票后30日内，向乙方支付</w:t>
      </w:r>
      <w:r>
        <w:rPr>
          <w:sz w:val="24"/>
        </w:rPr>
        <w:t>所承接采购包预算</w:t>
      </w:r>
      <w:r>
        <w:rPr>
          <w:sz w:val="24"/>
        </w:rPr>
        <w:t>的</w:t>
      </w:r>
      <w:r>
        <w:rPr>
          <w:sz w:val="24"/>
        </w:rPr>
        <w:t>50%作为预付款。</w:t>
      </w:r>
    </w:p>
    <w:p>
      <w:pPr>
        <w:pStyle w:val="null3"/>
        <w:jc w:val="both"/>
      </w:pPr>
      <w:r>
        <w:rPr>
          <w:sz w:val="24"/>
        </w:rPr>
        <w:t>（</w:t>
      </w:r>
      <w:r>
        <w:rPr>
          <w:sz w:val="24"/>
        </w:rPr>
        <w:t>二</w:t>
      </w:r>
      <w:r>
        <w:rPr>
          <w:sz w:val="24"/>
        </w:rPr>
        <w:t>）支付比例</w:t>
      </w:r>
      <w:r>
        <w:rPr>
          <w:sz w:val="24"/>
        </w:rPr>
        <w:t>40%，待项目</w:t>
      </w:r>
      <w:r>
        <w:rPr>
          <w:sz w:val="24"/>
        </w:rPr>
        <w:t>任务</w:t>
      </w:r>
      <w:r>
        <w:rPr>
          <w:sz w:val="24"/>
        </w:rPr>
        <w:t>完成</w:t>
      </w:r>
      <w:r>
        <w:rPr>
          <w:sz w:val="24"/>
        </w:rPr>
        <w:t>50%后，且在收到乙方提供的发票后30日内，向乙方支付</w:t>
      </w:r>
      <w:r>
        <w:rPr>
          <w:sz w:val="24"/>
        </w:rPr>
        <w:t>所承接采购包预算</w:t>
      </w:r>
      <w:r>
        <w:rPr>
          <w:sz w:val="24"/>
        </w:rPr>
        <w:t>的</w:t>
      </w:r>
      <w:r>
        <w:rPr>
          <w:sz w:val="24"/>
        </w:rPr>
        <w:t>40%</w:t>
      </w:r>
      <w:r>
        <w:rPr>
          <w:sz w:val="24"/>
        </w:rPr>
        <w:t>进度款</w:t>
      </w:r>
      <w:r>
        <w:rPr>
          <w:sz w:val="24"/>
        </w:rPr>
        <w:t>。</w:t>
      </w:r>
    </w:p>
    <w:p>
      <w:pPr>
        <w:pStyle w:val="null3"/>
        <w:jc w:val="both"/>
      </w:pPr>
      <w:r>
        <w:rPr>
          <w:sz w:val="24"/>
        </w:rPr>
        <w:t>（</w:t>
      </w:r>
      <w:r>
        <w:rPr>
          <w:sz w:val="24"/>
        </w:rPr>
        <w:t>三</w:t>
      </w:r>
      <w:r>
        <w:rPr>
          <w:sz w:val="24"/>
        </w:rPr>
        <w:t>）支付比例</w:t>
      </w:r>
      <w:r>
        <w:rPr>
          <w:sz w:val="24"/>
        </w:rPr>
        <w:t>10%，按照市财政资金使用管理规定有关年度资金支出时限要求，在收到乙方提供的发票及抽样明细等必要材料后30日内，甲方支付</w:t>
      </w:r>
      <w:r>
        <w:rPr>
          <w:sz w:val="24"/>
        </w:rPr>
        <w:t>合同</w:t>
      </w:r>
      <w:r>
        <w:rPr>
          <w:sz w:val="24"/>
        </w:rPr>
        <w:t>剩余款项。</w:t>
      </w:r>
    </w:p>
    <w:p>
      <w:pPr>
        <w:pStyle w:val="null3"/>
        <w:jc w:val="both"/>
      </w:pPr>
      <w:r>
        <w:rPr>
          <w:sz w:val="24"/>
        </w:rPr>
        <w:t>注：乙方凭以下有效文件与甲方结算：（</w:t>
      </w:r>
      <w:r>
        <w:rPr>
          <w:sz w:val="24"/>
        </w:rPr>
        <w:t>1）采购合同；（2）中标通知书；（3）乙方开具的正式发票；（4）完成抽检情况说明、食品抽检明细表。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jc w:val="both"/>
      </w:pPr>
      <w:r>
        <w:rPr>
          <w:sz w:val="24"/>
          <w:b/>
        </w:rPr>
        <w:t>七</w:t>
      </w:r>
      <w:r>
        <w:rPr>
          <w:sz w:val="24"/>
          <w:b/>
        </w:rPr>
        <w:t>、</w:t>
      </w:r>
      <w:r>
        <w:rPr>
          <w:sz w:val="24"/>
          <w:b/>
        </w:rPr>
        <w:t>违约责任</w:t>
      </w:r>
    </w:p>
    <w:p>
      <w:pPr>
        <w:pStyle w:val="null3"/>
        <w:jc w:val="both"/>
      </w:pPr>
      <w:r>
        <w:rPr>
          <w:sz w:val="24"/>
        </w:rPr>
        <w:t>（一）</w:t>
      </w:r>
      <w:r>
        <w:rPr>
          <w:sz w:val="24"/>
        </w:rPr>
        <w:t>由于</w:t>
      </w:r>
      <w:r>
        <w:rPr>
          <w:sz w:val="24"/>
        </w:rPr>
        <w:t>乙方</w:t>
      </w:r>
      <w:r>
        <w:rPr>
          <w:sz w:val="24"/>
        </w:rPr>
        <w:t>原因导致合同不能继续执行或者</w:t>
      </w:r>
      <w:r>
        <w:rPr>
          <w:sz w:val="24"/>
        </w:rPr>
        <w:t>乙方</w:t>
      </w:r>
      <w:r>
        <w:rPr>
          <w:sz w:val="24"/>
        </w:rPr>
        <w:t>单方面终止合同，</w:t>
      </w:r>
      <w:r>
        <w:rPr>
          <w:sz w:val="24"/>
        </w:rPr>
        <w:t>乙方</w:t>
      </w:r>
      <w:r>
        <w:rPr>
          <w:sz w:val="24"/>
        </w:rPr>
        <w:t>将</w:t>
      </w:r>
      <w:r>
        <w:rPr>
          <w:sz w:val="24"/>
        </w:rPr>
        <w:t>甲方</w:t>
      </w:r>
      <w:r>
        <w:rPr>
          <w:sz w:val="24"/>
        </w:rPr>
        <w:t>已经支付给</w:t>
      </w:r>
      <w:r>
        <w:rPr>
          <w:sz w:val="24"/>
        </w:rPr>
        <w:t>乙方</w:t>
      </w:r>
      <w:r>
        <w:rPr>
          <w:sz w:val="24"/>
        </w:rPr>
        <w:t>的合同款返还给</w:t>
      </w:r>
      <w:r>
        <w:rPr>
          <w:sz w:val="24"/>
        </w:rPr>
        <w:t>甲方</w:t>
      </w:r>
      <w:r>
        <w:rPr>
          <w:sz w:val="24"/>
        </w:rPr>
        <w:t>（返还的合同款扣除已经履行义务部分的费用），并</w:t>
      </w:r>
      <w:r>
        <w:rPr>
          <w:sz w:val="24"/>
        </w:rPr>
        <w:t>承担对甲方的损失</w:t>
      </w:r>
      <w:r>
        <w:rPr>
          <w:sz w:val="24"/>
        </w:rPr>
        <w:t>。</w:t>
      </w:r>
    </w:p>
    <w:p>
      <w:pPr>
        <w:pStyle w:val="null3"/>
        <w:jc w:val="both"/>
      </w:pPr>
      <w:r>
        <w:rPr>
          <w:sz w:val="24"/>
        </w:rPr>
        <w:t>（二）</w:t>
      </w:r>
      <w:r>
        <w:rPr>
          <w:sz w:val="24"/>
        </w:rPr>
        <w:t>由于政策或</w:t>
      </w:r>
      <w:r>
        <w:rPr>
          <w:sz w:val="24"/>
        </w:rPr>
        <w:t>甲方</w:t>
      </w:r>
      <w:r>
        <w:rPr>
          <w:sz w:val="24"/>
        </w:rPr>
        <w:t>需求变化等原因，合同不能继续执行需终止合同的，</w:t>
      </w:r>
      <w:r>
        <w:rPr>
          <w:sz w:val="24"/>
        </w:rPr>
        <w:t>甲方</w:t>
      </w:r>
      <w:r>
        <w:rPr>
          <w:sz w:val="24"/>
        </w:rPr>
        <w:t>按照</w:t>
      </w:r>
      <w:r>
        <w:rPr>
          <w:sz w:val="24"/>
        </w:rPr>
        <w:t>乙方</w:t>
      </w:r>
      <w:r>
        <w:rPr>
          <w:sz w:val="24"/>
        </w:rPr>
        <w:t>已实际完成并经</w:t>
      </w:r>
      <w:r>
        <w:rPr>
          <w:sz w:val="24"/>
        </w:rPr>
        <w:t>甲方</w:t>
      </w:r>
      <w:r>
        <w:rPr>
          <w:sz w:val="24"/>
        </w:rPr>
        <w:t>审核确认的工作量向</w:t>
      </w:r>
      <w:r>
        <w:rPr>
          <w:sz w:val="24"/>
        </w:rPr>
        <w:t>乙方</w:t>
      </w:r>
      <w:r>
        <w:rPr>
          <w:sz w:val="24"/>
        </w:rPr>
        <w:t>支付服务费。</w:t>
      </w:r>
    </w:p>
    <w:p>
      <w:pPr>
        <w:pStyle w:val="null3"/>
        <w:jc w:val="both"/>
      </w:pPr>
      <w:r>
        <w:rPr>
          <w:sz w:val="24"/>
        </w:rPr>
        <w:t>（三）乙方</w:t>
      </w:r>
      <w:r>
        <w:rPr>
          <w:sz w:val="24"/>
        </w:rPr>
        <w:t>提供的服务不符合合同约定或</w:t>
      </w:r>
      <w:r>
        <w:rPr>
          <w:sz w:val="24"/>
        </w:rPr>
        <w:t>甲方</w:t>
      </w:r>
      <w:r>
        <w:rPr>
          <w:sz w:val="24"/>
        </w:rPr>
        <w:t>要求的，</w:t>
      </w:r>
      <w:r>
        <w:rPr>
          <w:sz w:val="24"/>
        </w:rPr>
        <w:t>乙方</w:t>
      </w:r>
      <w:r>
        <w:rPr>
          <w:sz w:val="24"/>
        </w:rPr>
        <w:t>应在</w:t>
      </w:r>
      <w:r>
        <w:rPr>
          <w:sz w:val="24"/>
        </w:rPr>
        <w:t>甲方</w:t>
      </w:r>
      <w:r>
        <w:rPr>
          <w:sz w:val="24"/>
        </w:rPr>
        <w:t>规定的时间内予以整改，</w:t>
      </w:r>
      <w:r>
        <w:rPr>
          <w:sz w:val="24"/>
        </w:rPr>
        <w:t>乙方</w:t>
      </w:r>
      <w:r>
        <w:rPr>
          <w:sz w:val="24"/>
        </w:rPr>
        <w:t>整改仍不合格或拒不整改的，</w:t>
      </w:r>
      <w:r>
        <w:rPr>
          <w:sz w:val="24"/>
        </w:rPr>
        <w:t>甲方</w:t>
      </w:r>
      <w:r>
        <w:rPr>
          <w:sz w:val="24"/>
        </w:rPr>
        <w:t>有权解除合同，且视为是由于</w:t>
      </w:r>
      <w:r>
        <w:rPr>
          <w:sz w:val="24"/>
        </w:rPr>
        <w:t>乙方</w:t>
      </w:r>
      <w:r>
        <w:rPr>
          <w:sz w:val="24"/>
        </w:rPr>
        <w:t>原因导致的合同不能继续执行，</w:t>
      </w:r>
      <w:r>
        <w:rPr>
          <w:sz w:val="24"/>
        </w:rPr>
        <w:t>乙方</w:t>
      </w:r>
      <w:r>
        <w:rPr>
          <w:sz w:val="24"/>
        </w:rPr>
        <w:t>应按上述违约责任第</w:t>
      </w:r>
      <w:r>
        <w:rPr>
          <w:sz w:val="24"/>
        </w:rPr>
        <w:t>（一）</w:t>
      </w:r>
      <w:r>
        <w:rPr>
          <w:sz w:val="24"/>
        </w:rPr>
        <w:t>点承担违约责任。</w:t>
      </w:r>
    </w:p>
    <w:p>
      <w:pPr>
        <w:pStyle w:val="null3"/>
        <w:jc w:val="both"/>
      </w:pPr>
      <w:r>
        <w:rPr>
          <w:sz w:val="24"/>
          <w:b/>
        </w:rPr>
        <w:t>八</w:t>
      </w:r>
      <w:r>
        <w:rPr>
          <w:sz w:val="24"/>
          <w:b/>
        </w:rPr>
        <w:t>、知识产权归属</w:t>
      </w:r>
    </w:p>
    <w:p>
      <w:pPr>
        <w:pStyle w:val="null3"/>
        <w:ind w:firstLine="394"/>
        <w:jc w:val="left"/>
      </w:pPr>
      <w:r>
        <w:rPr>
          <w:sz w:val="24"/>
        </w:rPr>
        <w:t>乙方为执行本项目形成的文件、数据材料、成果，甲方享有全部的知识产权，乙方就项目文件仅具有在本项目范围内的使用权。乙方承诺乙方为执行项目而形成的文件、数据材料、研究成果等内容不涉及第三人知识产权，否则由此引起的纠纷及相关责任均由乙方单独承担。</w:t>
      </w:r>
    </w:p>
    <w:p>
      <w:pPr>
        <w:pStyle w:val="null3"/>
        <w:jc w:val="both"/>
      </w:pPr>
      <w:r>
        <w:rPr>
          <w:sz w:val="24"/>
          <w:b/>
        </w:rPr>
        <w:t>九</w:t>
      </w:r>
      <w:r>
        <w:rPr>
          <w:sz w:val="24"/>
          <w:b/>
        </w:rPr>
        <w:t>、保密</w:t>
      </w:r>
    </w:p>
    <w:p>
      <w:pPr>
        <w:pStyle w:val="null3"/>
        <w:ind w:firstLine="480"/>
        <w:jc w:val="both"/>
      </w:pPr>
      <w:r>
        <w:rPr>
          <w:sz w:val="24"/>
        </w:rPr>
        <w:t>项目实施期间，乙方必须采取措施对本项目实施过程中的数据、文档等资料保密（甲方同意发布的信息除外），否则，由于乙方过错导致的上述资料泄密的，乙方必须承担一切责任。乙方的保密责任不因本合同的终止而终止，项目完成后，乙方仍有责任对本项目的数据、文档等内容承担保密责任，保密期限至甲方对外正式公开有关信息时为止。对违反保密约定的行为，甲方有追究乙方违约责任和要求赔偿损失的权利。</w:t>
      </w:r>
    </w:p>
    <w:p>
      <w:pPr>
        <w:pStyle w:val="null3"/>
        <w:jc w:val="both"/>
      </w:pPr>
      <w:r>
        <w:rPr>
          <w:sz w:val="24"/>
          <w:b/>
        </w:rPr>
        <w:t>十、争议的解决</w:t>
      </w:r>
    </w:p>
    <w:p>
      <w:pPr>
        <w:pStyle w:val="null3"/>
        <w:ind w:firstLine="480"/>
        <w:jc w:val="both"/>
      </w:pPr>
      <w:r>
        <w:rPr>
          <w:sz w:val="24"/>
        </w:rPr>
        <w:t>合同执行过程中发生的任何争议，如双方不能通过友好协商解决，均同意提交给甲方所在地人民法院诉讼。</w:t>
      </w:r>
    </w:p>
    <w:p>
      <w:pPr>
        <w:pStyle w:val="null3"/>
        <w:jc w:val="both"/>
      </w:pPr>
      <w:r>
        <w:rPr>
          <w:sz w:val="24"/>
          <w:b/>
        </w:rPr>
        <w:t>十</w:t>
      </w:r>
      <w:r>
        <w:rPr>
          <w:sz w:val="24"/>
          <w:b/>
        </w:rPr>
        <w:t>一</w:t>
      </w:r>
      <w:r>
        <w:rPr>
          <w:sz w:val="24"/>
          <w:b/>
        </w:rPr>
        <w:t>、不可抗力</w:t>
      </w:r>
    </w:p>
    <w:p>
      <w:pPr>
        <w:pStyle w:val="null3"/>
        <w:ind w:firstLine="480"/>
        <w:jc w:val="both"/>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w:t>
      </w:r>
      <w:r>
        <w:rPr>
          <w:sz w:val="24"/>
          <w:b/>
        </w:rPr>
        <w:t>二</w:t>
      </w:r>
      <w:r>
        <w:rPr>
          <w:sz w:val="24"/>
          <w:b/>
        </w:rPr>
        <w:t>、税费</w:t>
      </w:r>
    </w:p>
    <w:p>
      <w:pPr>
        <w:pStyle w:val="null3"/>
        <w:ind w:firstLine="420"/>
        <w:jc w:val="both"/>
      </w:pPr>
      <w:r>
        <w:rPr>
          <w:sz w:val="24"/>
        </w:rPr>
        <w:t>在中国境内、外发生的与本合同执行有关的一切税费均由乙方负担。</w:t>
      </w:r>
    </w:p>
    <w:p>
      <w:pPr>
        <w:pStyle w:val="null3"/>
        <w:jc w:val="both"/>
      </w:pPr>
      <w:r>
        <w:rPr>
          <w:sz w:val="24"/>
          <w:b/>
        </w:rPr>
        <w:t>十</w:t>
      </w:r>
      <w:r>
        <w:rPr>
          <w:sz w:val="24"/>
          <w:b/>
        </w:rPr>
        <w:t>三</w:t>
      </w:r>
      <w:r>
        <w:rPr>
          <w:sz w:val="24"/>
          <w:b/>
        </w:rPr>
        <w:t>、其它</w:t>
      </w:r>
    </w:p>
    <w:p>
      <w:pPr>
        <w:pStyle w:val="null3"/>
        <w:jc w:val="both"/>
      </w:pPr>
      <w:r>
        <w:rPr>
          <w:sz w:val="24"/>
        </w:rPr>
        <w:t>（</w:t>
      </w:r>
      <w:r>
        <w:rPr>
          <w:sz w:val="24"/>
        </w:rPr>
        <w:t>一</w:t>
      </w:r>
      <w:r>
        <w:rPr>
          <w:sz w:val="24"/>
        </w:rPr>
        <w:t>）</w:t>
      </w:r>
      <w:r>
        <w:rPr>
          <w:sz w:val="24"/>
        </w:rPr>
        <w:t>本合同所有附件、采购文件、</w:t>
      </w:r>
      <w:r>
        <w:rPr>
          <w:sz w:val="24"/>
        </w:rPr>
        <w:t>投标</w:t>
      </w:r>
      <w:r>
        <w:rPr>
          <w:sz w:val="24"/>
        </w:rPr>
        <w:t>文件、</w:t>
      </w:r>
      <w:r>
        <w:rPr>
          <w:sz w:val="24"/>
        </w:rPr>
        <w:t>中标</w:t>
      </w:r>
      <w:r>
        <w:rPr>
          <w:sz w:val="24"/>
        </w:rPr>
        <w:t>通知书均为合同的有效组成部分，与本合同具有同等法律效力。</w:t>
      </w:r>
    </w:p>
    <w:p>
      <w:pPr>
        <w:pStyle w:val="null3"/>
        <w:jc w:val="both"/>
      </w:pPr>
      <w:r>
        <w:rPr>
          <w:sz w:val="24"/>
        </w:rPr>
        <w:t>（</w:t>
      </w:r>
      <w:r>
        <w:rPr>
          <w:sz w:val="24"/>
        </w:rPr>
        <w:t>二</w:t>
      </w:r>
      <w:r>
        <w:rPr>
          <w:sz w:val="24"/>
        </w:rPr>
        <w:t>）</w:t>
      </w:r>
      <w:r>
        <w:rPr>
          <w:sz w:val="24"/>
        </w:rPr>
        <w:t>在执行本合同的过程中，所有经双方签署确认的文件（包括会议纪要、补充协议、往来信函）即成为本合同的有效组成部分。</w:t>
      </w:r>
    </w:p>
    <w:p>
      <w:pPr>
        <w:pStyle w:val="null3"/>
        <w:jc w:val="both"/>
      </w:pPr>
      <w:r>
        <w:rPr>
          <w:sz w:val="24"/>
        </w:rPr>
        <w:t>（</w:t>
      </w:r>
      <w:r>
        <w:rPr>
          <w:sz w:val="24"/>
        </w:rPr>
        <w:t>三</w:t>
      </w:r>
      <w:r>
        <w:rPr>
          <w:sz w:val="24"/>
        </w:rPr>
        <w:t>）</w:t>
      </w:r>
      <w:r>
        <w:rPr>
          <w:sz w:val="24"/>
        </w:rPr>
        <w:t>如一方地址、电话、传真号码有变更，应在变更当日内书面通知对方，否则，应承担相应责任。</w:t>
      </w:r>
    </w:p>
    <w:p>
      <w:pPr>
        <w:pStyle w:val="null3"/>
        <w:jc w:val="both"/>
      </w:pPr>
      <w:r>
        <w:rPr>
          <w:sz w:val="24"/>
        </w:rPr>
        <w:t>（</w:t>
      </w:r>
      <w:r>
        <w:rPr>
          <w:sz w:val="24"/>
        </w:rPr>
        <w:t>四</w:t>
      </w:r>
      <w:r>
        <w:rPr>
          <w:sz w:val="24"/>
        </w:rPr>
        <w:t>）</w:t>
      </w:r>
      <w:r>
        <w:rPr>
          <w:sz w:val="24"/>
        </w:rPr>
        <w:t>除甲方事先书面同意外，乙方不得部分或全部转让其应履行的合同项下的义务。</w:t>
      </w:r>
    </w:p>
    <w:p>
      <w:pPr>
        <w:pStyle w:val="null3"/>
        <w:jc w:val="both"/>
      </w:pPr>
      <w:r>
        <w:rPr>
          <w:sz w:val="24"/>
          <w:b/>
        </w:rPr>
        <w:t>十</w:t>
      </w:r>
      <w:r>
        <w:rPr>
          <w:sz w:val="24"/>
          <w:b/>
        </w:rPr>
        <w:t>四</w:t>
      </w:r>
      <w:r>
        <w:rPr>
          <w:sz w:val="24"/>
          <w:b/>
        </w:rPr>
        <w:t>、合同生效</w:t>
      </w:r>
    </w:p>
    <w:p>
      <w:pPr>
        <w:pStyle w:val="null3"/>
        <w:jc w:val="both"/>
      </w:pPr>
      <w:r>
        <w:rPr>
          <w:sz w:val="24"/>
        </w:rPr>
        <w:t>（</w:t>
      </w:r>
      <w:r>
        <w:rPr>
          <w:sz w:val="24"/>
        </w:rPr>
        <w:t>一</w:t>
      </w:r>
      <w:r>
        <w:rPr>
          <w:sz w:val="24"/>
        </w:rPr>
        <w:t>）</w:t>
      </w:r>
      <w:r>
        <w:rPr>
          <w:sz w:val="24"/>
        </w:rPr>
        <w:t>本合同在甲乙双方法人代表或其授权代表签字盖章后生效。</w:t>
      </w:r>
    </w:p>
    <w:p>
      <w:pPr>
        <w:pStyle w:val="null3"/>
        <w:jc w:val="both"/>
      </w:pPr>
      <w:r>
        <w:rPr>
          <w:sz w:val="24"/>
        </w:rPr>
        <w:t>（</w:t>
      </w:r>
      <w:r>
        <w:rPr>
          <w:sz w:val="24"/>
        </w:rPr>
        <w:t>二</w:t>
      </w:r>
      <w:r>
        <w:rPr>
          <w:sz w:val="24"/>
        </w:rPr>
        <w:t>）</w:t>
      </w:r>
      <w:r>
        <w:rPr>
          <w:sz w:val="24"/>
        </w:rPr>
        <w:t>本合同一式</w:t>
      </w:r>
      <w:r>
        <w:rPr>
          <w:u w:val="single"/>
        </w:rPr>
        <w:t xml:space="preserve">    </w:t>
      </w:r>
      <w:r>
        <w:rPr>
          <w:sz w:val="24"/>
        </w:rPr>
        <w:t>份，甲方执</w:t>
      </w:r>
      <w:r>
        <w:rPr>
          <w:u w:val="single"/>
        </w:rPr>
        <w:t xml:space="preserve">    </w:t>
      </w:r>
      <w:r>
        <w:rPr>
          <w:sz w:val="24"/>
        </w:rPr>
        <w:t>份，乙方执</w:t>
      </w:r>
      <w:r>
        <w:rPr>
          <w:u w:val="single"/>
        </w:rPr>
        <w:t xml:space="preserve">    </w:t>
      </w:r>
      <w:r>
        <w:rPr>
          <w:sz w:val="24"/>
        </w:rPr>
        <w:t>份，均具有同等法律效力。</w:t>
      </w:r>
    </w:p>
    <w:p>
      <w:pPr>
        <w:pStyle w:val="null3"/>
        <w:jc w:val="both"/>
      </w:pPr>
      <w:r>
        <w:rPr>
          <w:sz w:val="24"/>
        </w:rPr>
        <w:t>附件</w:t>
      </w:r>
      <w:r>
        <w:rPr>
          <w:sz w:val="24"/>
        </w:rPr>
        <w:t>1：</w:t>
      </w:r>
      <w:r>
        <w:rPr>
          <w:sz w:val="24"/>
        </w:rPr>
        <w:t>项目采购内容清单</w:t>
      </w:r>
    </w:p>
    <w:p>
      <w:pPr>
        <w:pStyle w:val="null3"/>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249"/>
        <w:gridCol w:w="4057"/>
      </w:tblGrid>
      <w:tr>
        <w:tc>
          <w:tcPr>
            <w:tcW w:type="dxa" w:w="42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甲方（</w:t>
            </w:r>
            <w:r>
              <w:rPr>
                <w:sz w:val="24"/>
              </w:rPr>
              <w:t>盖</w:t>
            </w:r>
            <w:r>
              <w:rPr>
                <w:sz w:val="24"/>
              </w:rPr>
              <w:t>章）：</w:t>
            </w:r>
          </w:p>
        </w:tc>
        <w:tc>
          <w:tcPr>
            <w:tcW w:type="dxa" w:w="40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乙方</w:t>
            </w:r>
            <w:r>
              <w:rPr>
                <w:sz w:val="24"/>
              </w:rPr>
              <w:t>(</w:t>
            </w:r>
            <w:r>
              <w:rPr>
                <w:sz w:val="24"/>
              </w:rPr>
              <w:t>盖</w:t>
            </w:r>
            <w:r>
              <w:rPr>
                <w:sz w:val="24"/>
              </w:rPr>
              <w:t>章</w:t>
            </w:r>
            <w:r>
              <w:rPr>
                <w:sz w:val="24"/>
              </w:rPr>
              <w:t>)：</w:t>
            </w:r>
          </w:p>
        </w:tc>
      </w:tr>
      <w:tr>
        <w:tc>
          <w:tcPr>
            <w:tcW w:type="dxa" w:w="42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签约人</w:t>
            </w:r>
            <w:r>
              <w:rPr>
                <w:sz w:val="24"/>
              </w:rPr>
              <w:t>(签字)：</w:t>
            </w:r>
          </w:p>
        </w:tc>
        <w:tc>
          <w:tcPr>
            <w:tcW w:type="dxa" w:w="40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签约人</w:t>
            </w:r>
            <w:r>
              <w:rPr>
                <w:sz w:val="24"/>
              </w:rPr>
              <w:t>(签字)：</w:t>
            </w:r>
          </w:p>
        </w:tc>
      </w:tr>
      <w:tr>
        <w:tc>
          <w:tcPr>
            <w:tcW w:type="dxa" w:w="42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40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开户名称：</w:t>
            </w:r>
          </w:p>
        </w:tc>
      </w:tr>
      <w:tr>
        <w:tc>
          <w:tcPr>
            <w:tcW w:type="dxa" w:w="42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40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银行账号</w:t>
            </w:r>
            <w:r>
              <w:rPr>
                <w:sz w:val="24"/>
              </w:rPr>
              <w:t>：</w:t>
            </w:r>
          </w:p>
        </w:tc>
      </w:tr>
      <w:tr>
        <w:tc>
          <w:tcPr>
            <w:tcW w:type="dxa" w:w="42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p>
        </w:tc>
        <w:tc>
          <w:tcPr>
            <w:tcW w:type="dxa" w:w="40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开户行：</w:t>
            </w:r>
          </w:p>
        </w:tc>
      </w:tr>
      <w:tr>
        <w:tc>
          <w:tcPr>
            <w:tcW w:type="dxa" w:w="42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40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bl>
    <w:p>
      <w:pPr>
        <w:pStyle w:val="null3"/>
        <w:ind w:firstLine="480"/>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440201-2025-00750</w:t>
      </w:r>
    </w:p>
    <w:p>
      <w:pPr>
        <w:pStyle w:val="null3"/>
        <w:jc w:val="center"/>
        <w:outlineLvl w:val="3"/>
      </w:pPr>
      <w:r>
        <w:rPr>
          <w:sz w:val="24"/>
          <w:b/>
        </w:rPr>
        <w:t>采购项目编号：</w:t>
      </w:r>
      <w:r>
        <w:rPr>
          <w:sz w:val="24"/>
          <w:b/>
        </w:rPr>
        <w:t>GDYD250042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广东远东招标代理有限公司韶关分公司</w:t>
      </w:r>
    </w:p>
    <w:p>
      <w:pPr>
        <w:pStyle w:val="null3"/>
        <w:ind w:firstLine="480"/>
      </w:pPr>
      <w:r>
        <w:rPr/>
        <w:t xml:space="preserve"> 你方组织的</w:t>
      </w:r>
      <w:r>
        <w:rPr>
          <w:u w:val="single"/>
        </w:rPr>
        <w:t>“</w:t>
      </w:r>
      <w:r>
        <w:rPr>
          <w:u w:val="single"/>
        </w:rPr>
        <w:t>2025年韶关市市级食品安全抽检服务项目</w:t>
      </w:r>
      <w:r>
        <w:rPr>
          <w:u w:val="single"/>
        </w:rPr>
        <w:t>”</w:t>
      </w:r>
      <w:r>
        <w:rPr/>
        <w:t>项目的招标[采购项目编号为：</w:t>
      </w:r>
      <w:r>
        <w:rPr>
          <w:u w:val="single"/>
        </w:rPr>
        <w:t>GDYD250042</w:t>
      </w:r>
      <w:r>
        <w:rPr/>
        <w:t>]，我方愿参与投标。</w:t>
      </w:r>
    </w:p>
    <w:p>
      <w:pPr>
        <w:pStyle w:val="null3"/>
        <w:ind w:firstLine="480"/>
      </w:pPr>
      <w:r>
        <w:rPr/>
        <w:t>我方确认收到贵方提供的</w:t>
      </w:r>
      <w:r>
        <w:rPr>
          <w:u w:val="single"/>
        </w:rPr>
        <w:t>“</w:t>
      </w:r>
      <w:r>
        <w:rPr>
          <w:u w:val="single"/>
        </w:rPr>
        <w:t>2025年韶关市市级食品安全抽检服务项目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广东远东招标代理有限公司韶关分公司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2025年韶关市市级食品安全抽检服务项目</w:t>
      </w:r>
      <w:r>
        <w:rPr/>
        <w:t>”项目采购[采购项目编号为</w:t>
      </w:r>
      <w:r>
        <w:rPr/>
        <w:t>GDYD250042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韶关市市场监督管理局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广东远东招标代理有限公司韶关分公司</w:t>
      </w:r>
    </w:p>
    <w:p>
      <w:pPr>
        <w:pStyle w:val="null3"/>
        <w:ind w:firstLine="480"/>
      </w:pPr>
      <w:r>
        <w:rPr/>
        <w:t xml:space="preserve"> 如果我方在贵采购代理机构组织的</w:t>
      </w:r>
      <w:r>
        <w:rPr/>
        <w:t>2025年韶关市市级食品安全抽检服务项目</w:t>
      </w:r>
      <w:r>
        <w:rPr/>
        <w:t>招标中获中标（采购项目编号：</w:t>
      </w:r>
      <w:r>
        <w:rPr/>
        <w:t>GDYD250042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广东远东招标代理有限公司韶关分公司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广东远东招标代理有限公司韶关分公司</w:t>
      </w:r>
    </w:p>
    <w:p>
      <w:pPr>
        <w:pStyle w:val="null3"/>
        <w:ind w:firstLine="480"/>
      </w:pPr>
      <w:r>
        <w:rPr/>
        <w:t>我单位已登记并准备参与“</w:t>
      </w:r>
      <w:r>
        <w:rPr/>
        <w:t>2025年韶关市市级食品安全抽检服务项目</w:t>
      </w:r>
      <w:r>
        <w:rPr/>
        <w:t>”项目（采购项目编号：</w:t>
      </w:r>
      <w:r>
        <w:rPr/>
        <w:t>GDYD250042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