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440201-2024-02212</w:t>
      </w:r>
    </w:p>
    <w:p>
      <w:pPr>
        <w:pStyle w:val="null3"/>
        <w:jc w:val="center"/>
        <w:outlineLvl w:val="3"/>
      </w:pPr>
      <w:r>
        <w:rPr>
          <w:sz w:val="24"/>
          <w:b/>
        </w:rPr>
        <w:t>采购项目编号：</w:t>
      </w:r>
      <w:r>
        <w:rPr>
          <w:sz w:val="24"/>
          <w:b/>
        </w:rPr>
        <w:t>GDYD240492</w:t>
      </w:r>
    </w:p>
    <w:p>
      <w:pPr>
        <w:pStyle w:val="null3"/>
        <w:jc w:val="center"/>
        <w:outlineLvl w:val="3"/>
      </w:pPr>
      <w:r>
        <w:rPr>
          <w:sz w:val="24"/>
          <w:b/>
        </w:rPr>
        <w:t>项目名称：</w:t>
      </w:r>
      <w:r>
        <w:rPr>
          <w:sz w:val="24"/>
          <w:b/>
        </w:rPr>
        <w:t>韶关市2024年度耕地保护风险排查项目</w:t>
      </w:r>
    </w:p>
    <w:p>
      <w:pPr>
        <w:pStyle w:val="null3"/>
        <w:jc w:val="center"/>
        <w:outlineLvl w:val="3"/>
      </w:pPr>
      <w:r>
        <w:rPr>
          <w:sz w:val="24"/>
          <w:b/>
        </w:rPr>
        <w:t>采购人：</w:t>
      </w:r>
      <w:r>
        <w:rPr>
          <w:sz w:val="24"/>
          <w:b/>
        </w:rPr>
        <w:t>韶关市自然资源局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w:t>
      </w:r>
      <w:r>
        <w:rPr/>
        <w:t>受</w:t>
      </w:r>
      <w:r>
        <w:rPr/>
        <w:t>韶关市自然资源局</w:t>
      </w:r>
      <w:r>
        <w:rPr/>
        <w:t>的委托，采用</w:t>
      </w:r>
      <w:r>
        <w:rPr/>
        <w:t>竞争性磋商</w:t>
      </w:r>
      <w:r>
        <w:rPr/>
        <w:t>方式组织采购</w:t>
      </w:r>
      <w:r>
        <w:rPr/>
        <w:t>韶关市2024年度耕地保护风险排查项目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韶关市2024年度耕地保护风险排查项目</w:t>
      </w:r>
    </w:p>
    <w:p>
      <w:pPr>
        <w:pStyle w:val="null3"/>
        <w:ind w:firstLine="480"/>
      </w:pPr>
      <w:r>
        <w:rPr/>
        <w:t>采购计划编号：</w:t>
      </w:r>
      <w:r>
        <w:rPr/>
        <w:t>440201-2024-02212</w:t>
      </w:r>
    </w:p>
    <w:p>
      <w:pPr>
        <w:pStyle w:val="null3"/>
        <w:ind w:firstLine="480"/>
      </w:pPr>
      <w:r>
        <w:rPr/>
        <w:t>采购项目编号：</w:t>
      </w:r>
      <w:r>
        <w:rPr/>
        <w:t>GDYD240492</w:t>
      </w:r>
    </w:p>
    <w:p>
      <w:pPr>
        <w:pStyle w:val="null3"/>
        <w:ind w:firstLine="480"/>
      </w:pPr>
      <w:r>
        <w:rPr/>
        <w:t>采购方式：</w:t>
      </w:r>
      <w:r>
        <w:rPr/>
        <w:t>竞争性磋商</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采购包1(韶关市2024年度耕地保护风险排查项目):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韶关市2024年度耕地保护风险排查项目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合同履行期限：2024年9月31日前完成项目全部工作内容并通过验收。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副本复印件。分支机构投标的，须提供总公司和分公司营业执照副本复印件，总公司出具给分支机构的授权书，组成联合体时联合体各方需提供。</w:t>
      </w:r>
    </w:p>
    <w:p>
      <w:pPr>
        <w:pStyle w:val="null3"/>
      </w:pPr>
      <w:r>
        <w:rPr/>
        <w:t>2）具有良好的商业信誉和健全的财务会计制度：响应文件中提供《资格条件承诺函》，组成联合体时联合体各方需提供（格式详见竞争性磋商文件“第二章 采购需求”）</w:t>
      </w:r>
    </w:p>
    <w:p>
      <w:pPr>
        <w:pStyle w:val="null3"/>
      </w:pPr>
      <w:r>
        <w:rPr/>
        <w:t>3）有依法缴纳税收和社会保障资金的良好记录：响应文件中提供《资格条件承诺函》，组成联合体时联合体各方需提供（格式详见竞争性磋商文件“第二章 采购需求”）</w:t>
      </w:r>
    </w:p>
    <w:p>
      <w:pPr>
        <w:pStyle w:val="null3"/>
      </w:pPr>
      <w:r>
        <w:rPr/>
        <w:t>4）履行合同所必需的设备和专业技术能力：响应文件中提供《资格条件承诺函》，组成联合体时联合体各方需提供（格式详见竞争性磋商文件“第二章 采购需求”）</w:t>
      </w:r>
    </w:p>
    <w:p>
      <w:pPr>
        <w:pStyle w:val="null3"/>
      </w:pPr>
      <w:r>
        <w:rPr/>
        <w:t>5）参加采购活动前3年内，在经营活动中没有重大违法记录：响应文件中提供《资格条件承诺函》，组成联合体时联合体各方需提供（格式详见竞争性磋商文件“第二章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采购包1（韶关市2024年度耕地保护风险排查项目）：</w:t>
      </w:r>
      <w:r>
        <w:rPr/>
        <w:t>本项目专门面向中小企业采购，供应商以联合体形式参加采购活动，联合体各方均为中小微型企业；（中小微企业以供应商填写的《中小企业声明函》为判定标准，残疾人福利性单位以供应商填写的《残疾人福利性单位声明函》为判定标准，详见响应文件格式；监狱企业须供应商提供由省级以上监狱管理局、戒毒管理局（含新疆生产建设兵团）出具的属于监狱企业的证明文件，否则不予认定）。【本服务项目标的按照《中小企业划型标准规定》（工信部联企业[2011]300号）划分行业为：其他未列明行业】。</w:t>
      </w:r>
    </w:p>
    <w:p>
      <w:pPr>
        <w:pStyle w:val="null3"/>
        <w:outlineLvl w:val="3"/>
      </w:pPr>
      <w:r>
        <w:rPr>
          <w:sz w:val="24"/>
          <w:b/>
        </w:rPr>
        <w:t>3.本项目特定的资格要求：</w:t>
      </w:r>
    </w:p>
    <w:p>
      <w:pPr>
        <w:pStyle w:val="null3"/>
      </w:pPr>
      <w:r>
        <w:rPr/>
        <w:t>采购包1（韶关市2024年度耕地保护风险排查项目）：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3)本次采购接受联合体磋商，联合体以一个供应商的身份共同磋商。 ①联合体成员数量不超过2个。②联合体各方应按竞争性磋商文件提供的格式签订联合体协议书，明确联合体牵头人和各方权利义务，并承诺就成交项目向采购人承担连带责任。《联合体协议书》作为响应文件的组成部分向采购人提交。③联合体各方不得再以自己名义单独或参加其他联合体在本采购项目中磋商，否则各相关磋商均无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韶关市自然资源局</w:t>
      </w:r>
    </w:p>
    <w:p>
      <w:pPr>
        <w:pStyle w:val="null3"/>
        <w:ind w:firstLine="480"/>
      </w:pPr>
      <w:r>
        <w:rPr/>
        <w:t>地址：</w:t>
      </w:r>
      <w:r>
        <w:rPr/>
        <w:t>韶关市武江区西联镇百旺大道芙蓉园</w:t>
      </w:r>
    </w:p>
    <w:p>
      <w:pPr>
        <w:pStyle w:val="null3"/>
        <w:ind w:firstLine="480"/>
      </w:pPr>
      <w:r>
        <w:rPr/>
        <w:t>联系方式：</w:t>
      </w:r>
      <w:r>
        <w:rPr/>
        <w:t>0751-8777999</w:t>
      </w:r>
    </w:p>
    <w:p>
      <w:pPr>
        <w:pStyle w:val="null3"/>
        <w:outlineLvl w:val="3"/>
      </w:pPr>
      <w:r>
        <w:rPr>
          <w:sz w:val="24"/>
          <w:b/>
        </w:rPr>
        <w:t>2.采购代理机构信息</w:t>
      </w:r>
    </w:p>
    <w:p>
      <w:pPr>
        <w:pStyle w:val="null3"/>
        <w:ind w:firstLine="480"/>
      </w:pPr>
      <w:r>
        <w:rPr/>
        <w:t>名称：</w:t>
      </w:r>
      <w:r>
        <w:rPr/>
        <w:t>广东远东招标代理有限公司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134"/>
        <w:gridCol w:w="1012"/>
        <w:gridCol w:w="2294"/>
        <w:gridCol w:w="1866"/>
      </w:tblGrid>
      <w:tr>
        <w:tc>
          <w:tcPr>
            <w:tcW w:type="dxa" w:w="3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采购项目名称</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主要技术规格</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预算金额（元）</w:t>
            </w:r>
          </w:p>
        </w:tc>
      </w:tr>
      <w:tr>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w:t>
            </w:r>
            <w:r>
              <w:rPr>
                <w:sz w:val="24"/>
              </w:rPr>
              <w:t>2024年度耕地保护风险排查项目</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详见本部分</w:t>
            </w:r>
            <w:r>
              <w:rPr>
                <w:sz w:val="24"/>
              </w:rPr>
              <w:t>“2.技术标准与要求”</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1,800,000.00</w:t>
            </w:r>
          </w:p>
        </w:tc>
      </w:tr>
    </w:tbl>
    <w:p>
      <w:pPr>
        <w:pStyle w:val="null3"/>
        <w:jc w:val="both"/>
      </w:pPr>
      <w:r>
        <w:rPr>
          <w:sz w:val="24"/>
        </w:rPr>
        <w:t>注：</w:t>
      </w:r>
      <w:r>
        <w:rPr>
          <w:sz w:val="24"/>
        </w:rPr>
        <w:t>1、供应商须对本项目所投服务进行整体响应，任何只对其中一部分内容进行的响应都被视为无效投标。</w:t>
      </w:r>
    </w:p>
    <w:p>
      <w:pPr>
        <w:pStyle w:val="null3"/>
        <w:ind w:firstLine="480"/>
        <w:jc w:val="both"/>
      </w:pPr>
      <w:r>
        <w:rPr>
          <w:sz w:val="24"/>
        </w:rPr>
        <w:t>2、本项目报价应包含但不限于各</w:t>
      </w:r>
      <w:r>
        <w:rPr>
          <w:sz w:val="24"/>
        </w:rPr>
        <w:t>项</w:t>
      </w:r>
      <w:r>
        <w:rPr>
          <w:sz w:val="24"/>
        </w:rPr>
        <w:t>人力成本、拟投入仪器设备</w:t>
      </w:r>
      <w:r>
        <w:rPr>
          <w:sz w:val="24"/>
        </w:rPr>
        <w:t>设</w:t>
      </w:r>
      <w:r>
        <w:rPr>
          <w:sz w:val="24"/>
        </w:rPr>
        <w:t>施成本、资料费、服务费、图纸费、培训费、一切税费（全额含税发票）以及项目实施过程中其它预见和不可预见的一切费用等，供应商不得再向采购人收取任何费用。</w:t>
      </w:r>
    </w:p>
    <w:p>
      <w:pPr>
        <w:pStyle w:val="null3"/>
        <w:ind w:firstLine="480"/>
        <w:jc w:val="both"/>
      </w:pPr>
      <w:r>
        <w:rPr>
          <w:sz w:val="24"/>
        </w:rPr>
        <w:t>3、本项目不允许分包、转包。</w:t>
      </w:r>
    </w:p>
    <w:p>
      <w:pPr>
        <w:pStyle w:val="null3"/>
        <w:ind w:left="420"/>
        <w:jc w:val="both"/>
      </w:pPr>
      <w:r>
        <w:rPr>
          <w:sz w:val="24"/>
          <w:b/>
        </w:rPr>
        <w:t>（二）资格条件承诺函</w:t>
      </w:r>
    </w:p>
    <w:p>
      <w:pPr>
        <w:pStyle w:val="null3"/>
        <w:jc w:val="center"/>
      </w:pPr>
      <w:r>
        <w:rPr>
          <w:sz w:val="24"/>
          <w:b/>
        </w:rPr>
        <w:t>资格条件承诺函</w:t>
      </w:r>
    </w:p>
    <w:p>
      <w:pPr>
        <w:pStyle w:val="null3"/>
        <w:ind w:firstLine="420"/>
        <w:jc w:val="both"/>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20"/>
        <w:jc w:val="both"/>
      </w:pPr>
      <w:r>
        <w:rPr>
          <w:sz w:val="24"/>
        </w:rPr>
        <w:t>1.具有良好的商业信誉和健全的财务会计制度；</w:t>
      </w:r>
    </w:p>
    <w:p>
      <w:pPr>
        <w:pStyle w:val="null3"/>
        <w:ind w:firstLine="420"/>
        <w:jc w:val="both"/>
      </w:pPr>
      <w:r>
        <w:rPr>
          <w:sz w:val="24"/>
        </w:rPr>
        <w:t>2.具有履行合同所必需的设备和专业技术能力；</w:t>
      </w:r>
    </w:p>
    <w:p>
      <w:pPr>
        <w:pStyle w:val="null3"/>
        <w:ind w:firstLine="420"/>
        <w:jc w:val="both"/>
      </w:pPr>
      <w:r>
        <w:rPr>
          <w:sz w:val="24"/>
        </w:rPr>
        <w:t>3.具有依法缴纳税收和社会保障资金的良好记录；</w:t>
      </w:r>
    </w:p>
    <w:p>
      <w:pPr>
        <w:pStyle w:val="null3"/>
        <w:ind w:firstLine="420"/>
        <w:jc w:val="both"/>
      </w:pPr>
      <w:r>
        <w:rPr>
          <w:sz w:val="24"/>
        </w:rPr>
        <w:t>4.参加政府采购活动前三年内，在经营活动中没有重大违法记录。</w:t>
      </w:r>
    </w:p>
    <w:p>
      <w:pPr>
        <w:pStyle w:val="null3"/>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4"/>
        </w:rPr>
        <w:t>特此承诺。</w:t>
      </w:r>
    </w:p>
    <w:p>
      <w:pPr>
        <w:pStyle w:val="null3"/>
        <w:jc w:val="right"/>
      </w:pPr>
      <w:r>
        <w:rPr>
          <w:sz w:val="24"/>
        </w:rPr>
        <w:t>供应商名称（公章）</w:t>
      </w:r>
    </w:p>
    <w:p>
      <w:pPr>
        <w:pStyle w:val="null3"/>
        <w:ind w:firstLine="960"/>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采购包1（韶关市2024年度耕地保护风险排查项目）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2024年9月31日前完成项目全部工作内容并通过验收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支付至合同金额的30%。（注：（1）成交供应商凭以下有效文件与采购人结算：①合同；②成交供应商开具的正式发票；③成交通知书；（2）收款方、出具发票方、合同乙方均必须与成交供应商名称一致。</w:t>
            </w:r>
          </w:p>
          <w:p>
            <w:pPr>
              <w:pStyle w:val="null3"/>
            </w:pPr>
            <w:r>
              <w:rPr/>
              <w:t>2期：支付比例50%,完成摸查有关工作，支付至合同金额的50%。（注：（1）成交供应商凭以下有效文件与采购人结算：①合同；②成交供应商开具的正式发票；③成交通知书；（2）收款方、出具发票方、合同乙方均必须与成交供应商名称一致。</w:t>
            </w:r>
          </w:p>
          <w:p>
            <w:pPr>
              <w:pStyle w:val="null3"/>
            </w:pPr>
            <w:r>
              <w:rPr/>
              <w:t>3期：支付比例20%,完成全部工作后15日内支付至合同金额的20%。（注：（1）成交供应商凭以下有效文件与采购人结算：①合同；②成交供应商开具的正式发票；③成交通知书；（2）收款方、出具发票方、合同乙方均必须与成交供应商名称一致；（3）项目发生合同融资（指引详见《韶关市财政局 韶关市金融工作局 中国人民银行韶关市中心支行关于开展市级政府采购合同融资工作的通知》（韶财采购〔2021〕2号）、《广东省财政厅 中共广东省委金融委员会办公室 中国人民银行广东省分行关于进一步推广政府采购金融服务助力中小企业发展的通知》（粤财采购〔2024〕10号）），采购人应当将合同款项支付到合同约定收款账户。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1期：1、项目竣工后，成交供应商向采购人提请项目验收，由采购人完成项目的验收工作； 2、按采购文件要求，完成项目实施范围内的疑似非耕地图斑的提取、地类认定、历史地类朔源等相关工作； 3、验收依据文件：（1）项目合同；（2）有关国家、部委、省、市级政策文件；（3）相关国家、行业技术标准；（4）本项目技术设计书； 4、项目成果经采购人确认即视为验收通过。</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管理体系</w:t>
            </w:r>
          </w:p>
        </w:tc>
        <w:tc>
          <w:tcPr>
            <w:tcW w:type="dxa" w:w="2076"/>
          </w:tcPr>
          <w:p>
            <w:pPr>
              <w:pStyle w:val="null3"/>
              <w:jc w:val="left"/>
            </w:pPr>
            <w:r>
              <w:rPr/>
              <w:t>成交供应商需做好质量管理保证、职业健康安全保证、环境管理影响等内控管理，以确保项目在服务品质等方面管理的规范性。</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投诉跟踪服务要求，成交供应商需要提供常设的投诉热线服务，并对投诉内容进行及时跟踪、回访。对采购人的投诉通知，需要在采购人指定的时间内处理完毕，若突发事件不能在短时间内解决，成交供应商必须按采购人相关新的管理方案或规定严格执行。成果经采购人确认后，如果发现存在质量问题，供应商接到采购人通知后5日内到现场解决问题； 2、项目验收通过后服务期限1个月； 3、售后服务需配套专业技术人员不少于2人，提供的售后服务响应时间不超过30分钟，需提供的到场服务响应时间不超过4小时。 4、项目出现问题后成交供应商应立即向采购人提出解决方案。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韶关市2024年度耕地保护风险排查项目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韶关市2024年度耕地保护风险排查项目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一、项目背景</w:t>
            </w:r>
          </w:p>
          <w:p>
            <w:pPr>
              <w:pStyle w:val="null3"/>
              <w:jc w:val="both"/>
            </w:pPr>
            <w:r>
              <w:rPr>
                <w:sz w:val="24"/>
              </w:rPr>
              <w:t>1、</w:t>
            </w:r>
            <w:r>
              <w:rPr>
                <w:sz w:val="24"/>
              </w:rPr>
              <w:t>耕地是国家的战略资源，也是人民赖以生存的生产资料，关系十几亿人的吃饭大事。根据《国务院办公厅关于坚决制止耕地</w:t>
            </w:r>
            <w:r>
              <w:rPr>
                <w:sz w:val="24"/>
              </w:rPr>
              <w:t>“非农化”行为的通知》（国办发明电〔2020〕24号）、《国务院办公厅关于防止耕地“非粮化”稳定粮食生产的意见》（国办发〔2020〕44 号）</w:t>
            </w:r>
            <w:r>
              <w:rPr>
                <w:sz w:val="24"/>
              </w:rPr>
              <w:t>、</w:t>
            </w:r>
            <w:r>
              <w:rPr>
                <w:sz w:val="24"/>
              </w:rPr>
              <w:t>《自然资源部</w:t>
            </w:r>
            <w:r>
              <w:rPr>
                <w:sz w:val="24"/>
              </w:rPr>
              <w:t>农业农村部</w:t>
            </w:r>
            <w:r>
              <w:rPr>
                <w:sz w:val="24"/>
              </w:rPr>
              <w:t>国家林业和草原局关于严格耕地用途管制有关问题的通知》（自然资发〔</w:t>
            </w:r>
            <w:r>
              <w:rPr>
                <w:sz w:val="24"/>
              </w:rPr>
              <w:t>2021〕166号）</w:t>
            </w:r>
            <w:r>
              <w:rPr>
                <w:sz w:val="24"/>
              </w:rPr>
              <w:t>、《广东省自然资源厅广东省农业农村厅广东省林业局关于严格耕地用途管制有关问题的通知》（粤自然资函</w:t>
            </w:r>
            <w:r>
              <w:rPr>
                <w:sz w:val="24"/>
              </w:rPr>
              <w:t>(2022）434号）</w:t>
            </w:r>
            <w:r>
              <w:rPr>
                <w:sz w:val="24"/>
              </w:rPr>
              <w:t>等相关文件，党中央、国务院</w:t>
            </w:r>
            <w:r>
              <w:rPr>
                <w:sz w:val="24"/>
              </w:rPr>
              <w:t>和</w:t>
            </w:r>
            <w:r>
              <w:rPr>
                <w:sz w:val="24"/>
              </w:rPr>
              <w:t>广东省提出了一系列关于保障国家粮食安全的决策部署，要求坚持最严格的耕地保护制度和最严格的节约用地制度，制止耕地</w:t>
            </w:r>
            <w:r>
              <w:rPr>
                <w:sz w:val="24"/>
              </w:rPr>
              <w:t>“非农化”、防止耕地“非粮化”。同时耕地用途管制明确要求保障各级政府承担的耕地保有量目标，禁止将耕地转为非耕地，坚决守住耕地保护红线。</w:t>
            </w:r>
          </w:p>
          <w:p>
            <w:pPr>
              <w:pStyle w:val="null3"/>
              <w:jc w:val="both"/>
            </w:pPr>
            <w:r>
              <w:rPr>
                <w:sz w:val="24"/>
              </w:rPr>
              <w:t>2、</w:t>
            </w:r>
            <w:r>
              <w:rPr>
                <w:sz w:val="24"/>
              </w:rPr>
              <w:t>近年来，韶关市耕地保护</w:t>
            </w:r>
            <w:r>
              <w:rPr>
                <w:sz w:val="24"/>
              </w:rPr>
              <w:t>仍然面临较大压力</w:t>
            </w:r>
            <w:r>
              <w:rPr>
                <w:sz w:val="24"/>
              </w:rPr>
              <w:t>，违法违规占用耕地现象仍有发生，且耕地后备资源越来越少，耕地</w:t>
            </w:r>
            <w:r>
              <w:rPr>
                <w:sz w:val="24"/>
              </w:rPr>
              <w:t>“非粮化”“非农化”行为亟需更全面有力的监测管理。为贯彻落实党中央、国务院</w:t>
            </w:r>
            <w:r>
              <w:rPr>
                <w:sz w:val="24"/>
              </w:rPr>
              <w:t>和省</w:t>
            </w:r>
            <w:r>
              <w:rPr>
                <w:sz w:val="24"/>
              </w:rPr>
              <w:t>关于加强和改进耕地保护决策部署，掌握我市耕地情况，保障各年度耕地总量稳定，我市计划在全市范围内开展</w:t>
            </w:r>
            <w:r>
              <w:rPr>
                <w:sz w:val="24"/>
              </w:rPr>
              <w:t>2024年度耕地保护风险排查项目，对我市耕地现状进行摸查，以便及时、准确、高效地推进相关工作。</w:t>
            </w:r>
          </w:p>
        </w:tc>
      </w:tr>
      <w:tr>
        <w:tc>
          <w:tcPr>
            <w:tcW w:type="dxa" w:w="2076"/>
          </w:tcPr>
          <w:p/>
        </w:tc>
        <w:tc>
          <w:tcPr>
            <w:tcW w:type="dxa" w:w="415"/>
          </w:tcPr>
          <w:p>
            <w:pPr>
              <w:pStyle w:val="null3"/>
            </w:pPr>
            <w:r>
              <w:rPr/>
              <w:t>2</w:t>
            </w:r>
          </w:p>
        </w:tc>
        <w:tc>
          <w:tcPr>
            <w:tcW w:type="dxa" w:w="5814"/>
          </w:tcPr>
          <w:p>
            <w:pPr>
              <w:pStyle w:val="null3"/>
              <w:jc w:val="both"/>
            </w:pPr>
            <w:r>
              <w:rPr>
                <w:sz w:val="24"/>
                <w:b/>
              </w:rPr>
              <w:t>二、任务范围</w:t>
            </w:r>
          </w:p>
          <w:p>
            <w:pPr>
              <w:pStyle w:val="null3"/>
              <w:jc w:val="both"/>
            </w:pPr>
            <w:r>
              <w:rPr>
                <w:sz w:val="24"/>
              </w:rPr>
              <w:t>2023年度韶关市国土变更调查“一上”数据库成果城镇村范围外的耕地图斑。</w:t>
            </w:r>
          </w:p>
        </w:tc>
      </w:tr>
      <w:tr>
        <w:tc>
          <w:tcPr>
            <w:tcW w:type="dxa" w:w="2076"/>
          </w:tcPr>
          <w:p/>
        </w:tc>
        <w:tc>
          <w:tcPr>
            <w:tcW w:type="dxa" w:w="415"/>
          </w:tcPr>
          <w:p>
            <w:pPr>
              <w:pStyle w:val="null3"/>
            </w:pPr>
            <w:r>
              <w:rPr/>
              <w:t>3</w:t>
            </w:r>
          </w:p>
        </w:tc>
        <w:tc>
          <w:tcPr>
            <w:tcW w:type="dxa" w:w="5814"/>
          </w:tcPr>
          <w:p>
            <w:pPr>
              <w:pStyle w:val="null3"/>
              <w:jc w:val="both"/>
            </w:pPr>
            <w:r>
              <w:rPr>
                <w:sz w:val="24"/>
                <w:b/>
              </w:rPr>
              <w:t>三、标准依据（如有最新的，则按最新的执行）</w:t>
            </w:r>
          </w:p>
          <w:p>
            <w:pPr>
              <w:pStyle w:val="null3"/>
              <w:jc w:val="both"/>
            </w:pPr>
            <w:r>
              <w:rPr>
                <w:sz w:val="24"/>
              </w:rPr>
              <w:t>①《中共中央国务院关于加强耕地保护和改进占补平衡的意见》（中发〔2017〕4号）；</w:t>
            </w:r>
          </w:p>
          <w:p>
            <w:pPr>
              <w:pStyle w:val="null3"/>
              <w:jc w:val="both"/>
            </w:pPr>
            <w:r>
              <w:rPr>
                <w:sz w:val="24"/>
              </w:rPr>
              <w:t>②《自然资源部 农业农村部关于加强和改进永久基本农田保护工作的通知》（自然资规〔2019〕1号）</w:t>
            </w:r>
            <w:r>
              <w:rPr>
                <w:sz w:val="24"/>
              </w:rPr>
              <w:t>；</w:t>
            </w:r>
          </w:p>
          <w:p>
            <w:pPr>
              <w:pStyle w:val="null3"/>
              <w:jc w:val="both"/>
            </w:pPr>
            <w:r>
              <w:rPr>
                <w:sz w:val="24"/>
              </w:rPr>
              <w:t>③《国务院办公厅关于坚决制止耕地“非农化”行为的通知》（国办发明电〔2020〕24号）；</w:t>
            </w:r>
          </w:p>
          <w:p>
            <w:pPr>
              <w:pStyle w:val="null3"/>
              <w:jc w:val="both"/>
            </w:pPr>
            <w:r>
              <w:rPr>
                <w:sz w:val="24"/>
              </w:rPr>
              <w:t>④《广东省人民政府办公厅转发国务院办公厅关于坚决制止耕地“非农化”行为的通知》；</w:t>
            </w:r>
          </w:p>
          <w:p>
            <w:pPr>
              <w:pStyle w:val="null3"/>
              <w:jc w:val="both"/>
            </w:pPr>
            <w:r>
              <w:rPr>
                <w:sz w:val="24"/>
              </w:rPr>
              <w:t>⑤《国务院办公厅关于防止耕地“非粮化”稳定粮食生产的意见》（国办发〔2020〕44号）；</w:t>
            </w:r>
          </w:p>
          <w:p>
            <w:pPr>
              <w:pStyle w:val="null3"/>
              <w:jc w:val="both"/>
            </w:pPr>
            <w:r>
              <w:rPr>
                <w:sz w:val="24"/>
              </w:rPr>
              <w:t>⑥《广东省人民政府办公厅关于印发广东省防止耕地“非粮化”稳定粮食生产工作方案的通知》（粤办函〔2021〕2号）；</w:t>
            </w:r>
          </w:p>
          <w:p>
            <w:pPr>
              <w:pStyle w:val="null3"/>
              <w:jc w:val="both"/>
            </w:pPr>
            <w:r>
              <w:rPr>
                <w:sz w:val="24"/>
              </w:rPr>
              <w:t>⑦《耕地卫片监督方案》（自然资办发〔2021〕32号）；</w:t>
            </w:r>
          </w:p>
          <w:p>
            <w:pPr>
              <w:pStyle w:val="null3"/>
              <w:jc w:val="both"/>
            </w:pPr>
            <w:r>
              <w:rPr>
                <w:sz w:val="24"/>
              </w:rPr>
              <w:t>⑧《广东省人民政府印发关于进一步加强和改进耕地保护工作若干措施的通知》（粤府函〔2021〕130号）；</w:t>
            </w:r>
          </w:p>
          <w:p>
            <w:pPr>
              <w:pStyle w:val="null3"/>
              <w:jc w:val="both"/>
            </w:pPr>
            <w:r>
              <w:rPr>
                <w:sz w:val="24"/>
              </w:rPr>
              <w:t>⑨《自然资源部 农业农村部 国家林业和草原局关于严格耕地用途管制有关问题的通知》（自然资发〔2021〕166号）；</w:t>
            </w:r>
          </w:p>
          <w:p>
            <w:pPr>
              <w:pStyle w:val="null3"/>
              <w:jc w:val="both"/>
            </w:pPr>
            <w:r>
              <w:rPr>
                <w:sz w:val="24"/>
              </w:rPr>
              <w:t>⑩《广东省自然资源厅 广东省农业农村厅 广东省林业局关于严格耕地用途管制有关问题的通知》（粤自然资源函〔2022〕434号）；</w:t>
            </w:r>
          </w:p>
          <w:p>
            <w:pPr>
              <w:pStyle w:val="null3"/>
              <w:jc w:val="both"/>
            </w:pPr>
            <w:r>
              <w:rPr>
                <w:sz w:val="24"/>
              </w:rPr>
              <w:t>⑪《自然资源部办公厅关于进一步加强补充耕地项目管理严格新增耕地核实认定的通知》（自然资办发〔2022〕36号）；</w:t>
            </w:r>
          </w:p>
          <w:p>
            <w:pPr>
              <w:pStyle w:val="null3"/>
              <w:jc w:val="both"/>
            </w:pPr>
            <w:r>
              <w:rPr>
                <w:sz w:val="24"/>
              </w:rPr>
              <w:t>⑫《国土变更调查技术规程（2022年度使用）》；</w:t>
            </w:r>
          </w:p>
          <w:p>
            <w:pPr>
              <w:pStyle w:val="null3"/>
              <w:jc w:val="both"/>
            </w:pPr>
            <w:r>
              <w:rPr>
                <w:sz w:val="24"/>
              </w:rPr>
              <w:t>⑬《关于印发〈广东省补充耕地项目管理办法〉的通知》（粤自然资函〔2023〕88号）；</w:t>
            </w:r>
          </w:p>
          <w:p>
            <w:pPr>
              <w:pStyle w:val="null3"/>
              <w:jc w:val="both"/>
            </w:pPr>
            <w:r>
              <w:rPr>
                <w:sz w:val="24"/>
              </w:rPr>
              <w:t>⑭《自然资源部办公厅关于开展全国耕地后备资源调查评价工作的通知》（自然资办发〔2021〕47号）；</w:t>
            </w:r>
          </w:p>
          <w:p>
            <w:pPr>
              <w:pStyle w:val="null3"/>
              <w:jc w:val="both"/>
            </w:pPr>
            <w:r>
              <w:rPr>
                <w:sz w:val="24"/>
              </w:rPr>
              <w:t>⑮</w:t>
            </w:r>
            <w:r>
              <w:rPr>
                <w:sz w:val="24"/>
              </w:rPr>
              <w:t>其他政策文件及技术要求、指导意见</w:t>
            </w:r>
            <w:r>
              <w:rPr>
                <w:sz w:val="24"/>
              </w:rPr>
              <w:t>。</w:t>
            </w:r>
          </w:p>
        </w:tc>
      </w:tr>
      <w:tr>
        <w:tc>
          <w:tcPr>
            <w:tcW w:type="dxa" w:w="2076"/>
          </w:tcPr>
          <w:p/>
        </w:tc>
        <w:tc>
          <w:tcPr>
            <w:tcW w:type="dxa" w:w="415"/>
          </w:tcPr>
          <w:p>
            <w:pPr>
              <w:pStyle w:val="null3"/>
            </w:pPr>
            <w:r>
              <w:rPr/>
              <w:t>4</w:t>
            </w:r>
          </w:p>
        </w:tc>
        <w:tc>
          <w:tcPr>
            <w:tcW w:type="dxa" w:w="5814"/>
          </w:tcPr>
          <w:p>
            <w:pPr>
              <w:pStyle w:val="null3"/>
              <w:jc w:val="both"/>
            </w:pPr>
            <w:r>
              <w:rPr>
                <w:sz w:val="24"/>
                <w:b/>
              </w:rPr>
              <w:t>四、项目目标</w:t>
            </w:r>
          </w:p>
          <w:p>
            <w:pPr>
              <w:pStyle w:val="null3"/>
              <w:jc w:val="both"/>
            </w:pPr>
            <w:r>
              <w:rPr>
                <w:sz w:val="24"/>
              </w:rPr>
              <w:t>根据自然资源部、农业农村部、国家林业和草原局联合下发《关于严格耕地用途管制有关问题的通知》（自然资发〔</w:t>
            </w:r>
            <w:r>
              <w:rPr>
                <w:sz w:val="24"/>
              </w:rPr>
              <w:t>2021〕166号），明确提出了耕地用途管制及其具体管控措施和要求，要求“根据本级政府承担的耕地保有量目标，对耕地转为其他农用地及农业设施建设用地实行年度‘进出平衡’”。《广东省自然资源厅 广东省农业农村厅 广东省林业局关于严格耕地用途管制有关问题的通知》（粤自然资源函〔2022〕434号），为各地实行年度耕地“进出平衡”明确了工作指引</w:t>
            </w:r>
            <w:r>
              <w:rPr>
                <w:sz w:val="24"/>
              </w:rPr>
              <w:t>，</w:t>
            </w:r>
            <w:r>
              <w:rPr>
                <w:sz w:val="24"/>
              </w:rPr>
              <w:t>2024年度国家实现耕地占补平衡改革，要求在实现耕地总量平衡的基础上，逐步恢复耕地回补上一轮规划耕地保护目标任务缺口。</w:t>
            </w:r>
            <w:r>
              <w:rPr>
                <w:sz w:val="24"/>
              </w:rPr>
              <w:t>随着耕地后备资源越来越少，耕地</w:t>
            </w:r>
            <w:r>
              <w:rPr>
                <w:sz w:val="24"/>
              </w:rPr>
              <w:t>“非粮化”、“非农化”行为亟需更全面有力的监测监督管理</w:t>
            </w:r>
            <w:r>
              <w:rPr>
                <w:sz w:val="24"/>
              </w:rPr>
              <w:t>，</w:t>
            </w:r>
            <w:r>
              <w:rPr>
                <w:sz w:val="24"/>
              </w:rPr>
              <w:t>为</w:t>
            </w:r>
            <w:r>
              <w:rPr>
                <w:sz w:val="24"/>
              </w:rPr>
              <w:t>有效</w:t>
            </w:r>
            <w:r>
              <w:rPr>
                <w:sz w:val="24"/>
              </w:rPr>
              <w:t>遏制耕地流出，现开展韶关市</w:t>
            </w:r>
            <w:r>
              <w:rPr>
                <w:sz w:val="24"/>
              </w:rPr>
              <w:t>2024年度耕地保护风险排查工作。</w:t>
            </w:r>
          </w:p>
        </w:tc>
      </w:tr>
      <w:tr>
        <w:tc>
          <w:tcPr>
            <w:tcW w:type="dxa" w:w="2076"/>
          </w:tcPr>
          <w:p/>
        </w:tc>
        <w:tc>
          <w:tcPr>
            <w:tcW w:type="dxa" w:w="415"/>
          </w:tcPr>
          <w:p>
            <w:pPr>
              <w:pStyle w:val="null3"/>
            </w:pPr>
            <w:r>
              <w:rPr/>
              <w:t>5</w:t>
            </w:r>
          </w:p>
        </w:tc>
        <w:tc>
          <w:tcPr>
            <w:tcW w:type="dxa" w:w="5814"/>
          </w:tcPr>
          <w:p>
            <w:pPr>
              <w:pStyle w:val="null3"/>
              <w:jc w:val="both"/>
            </w:pPr>
            <w:r>
              <w:rPr>
                <w:sz w:val="24"/>
                <w:b/>
              </w:rPr>
              <w:t>五、项目内容</w:t>
            </w:r>
          </w:p>
          <w:p>
            <w:pPr>
              <w:pStyle w:val="null3"/>
              <w:jc w:val="both"/>
            </w:pPr>
            <w:r>
              <w:rPr>
                <w:sz w:val="24"/>
              </w:rPr>
              <w:t>1、提取2023年</w:t>
            </w:r>
            <w:r>
              <w:rPr>
                <w:sz w:val="24"/>
              </w:rPr>
              <w:t>存在流出风险的</w:t>
            </w:r>
            <w:r>
              <w:rPr>
                <w:sz w:val="24"/>
              </w:rPr>
              <w:t>图斑</w:t>
            </w:r>
          </w:p>
          <w:p>
            <w:pPr>
              <w:pStyle w:val="null3"/>
              <w:jc w:val="both"/>
            </w:pPr>
            <w:r>
              <w:rPr>
                <w:sz w:val="24"/>
              </w:rPr>
              <w:t>以</w:t>
            </w:r>
            <w:r>
              <w:rPr>
                <w:sz w:val="24"/>
              </w:rPr>
              <w:t>2023年度国土变更调查耕地地类图斑为监测范围，</w:t>
            </w:r>
            <w:r>
              <w:rPr>
                <w:sz w:val="24"/>
              </w:rPr>
              <w:t>利用</w:t>
            </w:r>
            <w:r>
              <w:rPr>
                <w:sz w:val="24"/>
              </w:rPr>
              <w:t>2023年光学遥感影像进行解译核查，识别并提取</w:t>
            </w:r>
            <w:r>
              <w:rPr>
                <w:sz w:val="24"/>
              </w:rPr>
              <w:t>监测范围内影像纹理特征为非耕地的范围，形成疑似非耕地图斑。</w:t>
            </w:r>
          </w:p>
          <w:p>
            <w:pPr>
              <w:pStyle w:val="null3"/>
              <w:jc w:val="both"/>
            </w:pPr>
            <w:r>
              <w:rPr>
                <w:sz w:val="24"/>
              </w:rPr>
              <w:t>2、疑似非耕地图斑地类认定</w:t>
            </w:r>
          </w:p>
          <w:p>
            <w:pPr>
              <w:pStyle w:val="null3"/>
              <w:jc w:val="both"/>
            </w:pPr>
            <w:r>
              <w:rPr>
                <w:sz w:val="24"/>
              </w:rPr>
              <w:t>对提取的疑似非耕地图斑，根据影像纹理判定图斑地类，同时判定图斑地类是否为重点监督类型。</w:t>
            </w:r>
          </w:p>
          <w:p>
            <w:pPr>
              <w:pStyle w:val="null3"/>
              <w:jc w:val="both"/>
            </w:pPr>
            <w:r>
              <w:rPr>
                <w:sz w:val="24"/>
              </w:rPr>
              <w:t>重点监督类型如下：</w:t>
            </w:r>
          </w:p>
          <w:p>
            <w:pPr>
              <w:pStyle w:val="null3"/>
              <w:jc w:val="both"/>
            </w:pPr>
            <w:r>
              <w:rPr>
                <w:sz w:val="24"/>
              </w:rPr>
              <w:t>①</w:t>
            </w:r>
            <w:r>
              <w:rPr>
                <w:sz w:val="24"/>
              </w:rPr>
              <w:t>绿化造林。</w:t>
            </w:r>
          </w:p>
          <w:p>
            <w:pPr>
              <w:pStyle w:val="null3"/>
              <w:jc w:val="both"/>
            </w:pPr>
            <w:r>
              <w:rPr>
                <w:sz w:val="24"/>
              </w:rPr>
              <w:t>②</w:t>
            </w:r>
            <w:r>
              <w:rPr>
                <w:sz w:val="24"/>
              </w:rPr>
              <w:t>绿色通道。</w:t>
            </w:r>
          </w:p>
          <w:p>
            <w:pPr>
              <w:pStyle w:val="null3"/>
              <w:jc w:val="both"/>
            </w:pPr>
            <w:r>
              <w:rPr>
                <w:sz w:val="24"/>
              </w:rPr>
              <w:t>③</w:t>
            </w:r>
            <w:r>
              <w:rPr>
                <w:sz w:val="24"/>
              </w:rPr>
              <w:t>种植人工草皮。</w:t>
            </w:r>
          </w:p>
          <w:p>
            <w:pPr>
              <w:pStyle w:val="null3"/>
              <w:jc w:val="both"/>
            </w:pPr>
            <w:r>
              <w:rPr>
                <w:sz w:val="24"/>
              </w:rPr>
              <w:t>④</w:t>
            </w:r>
            <w:r>
              <w:rPr>
                <w:sz w:val="24"/>
              </w:rPr>
              <w:t>挖湖造景。</w:t>
            </w:r>
          </w:p>
          <w:p>
            <w:pPr>
              <w:pStyle w:val="null3"/>
              <w:jc w:val="both"/>
            </w:pPr>
            <w:r>
              <w:rPr>
                <w:sz w:val="24"/>
              </w:rPr>
              <w:t>3、</w:t>
            </w:r>
            <w:r>
              <w:rPr>
                <w:sz w:val="24"/>
              </w:rPr>
              <w:t>疑似非耕地图斑历史地类追溯</w:t>
            </w:r>
          </w:p>
          <w:p>
            <w:pPr>
              <w:pStyle w:val="null3"/>
              <w:jc w:val="both"/>
            </w:pPr>
            <w:r>
              <w:rPr>
                <w:sz w:val="24"/>
              </w:rPr>
              <w:t>以提取的疑似非耕地图斑为基础，利用</w:t>
            </w:r>
            <w:r>
              <w:rPr>
                <w:sz w:val="24"/>
              </w:rPr>
              <w:t>2019、2020、2021、2022年光学遥感影像对疑似非耕地图斑自“三调”以来历史地类开展追溯。</w:t>
            </w:r>
          </w:p>
        </w:tc>
      </w:tr>
      <w:tr>
        <w:tc>
          <w:tcPr>
            <w:tcW w:type="dxa" w:w="2076"/>
          </w:tcPr>
          <w:p/>
        </w:tc>
        <w:tc>
          <w:tcPr>
            <w:tcW w:type="dxa" w:w="415"/>
          </w:tcPr>
          <w:p>
            <w:pPr>
              <w:pStyle w:val="null3"/>
            </w:pPr>
            <w:r>
              <w:rPr/>
              <w:t>6</w:t>
            </w:r>
          </w:p>
        </w:tc>
        <w:tc>
          <w:tcPr>
            <w:tcW w:type="dxa" w:w="5814"/>
          </w:tcPr>
          <w:p>
            <w:pPr>
              <w:pStyle w:val="null3"/>
              <w:jc w:val="both"/>
            </w:pPr>
            <w:r>
              <w:rPr>
                <w:sz w:val="24"/>
                <w:b/>
              </w:rPr>
              <w:t>六、相关技术指标</w:t>
            </w:r>
          </w:p>
          <w:p>
            <w:pPr>
              <w:pStyle w:val="null3"/>
              <w:jc w:val="both"/>
            </w:pPr>
            <w:r>
              <w:rPr>
                <w:sz w:val="24"/>
              </w:rPr>
              <w:t>1、数学基础</w:t>
            </w:r>
          </w:p>
          <w:p>
            <w:pPr>
              <w:pStyle w:val="null3"/>
              <w:jc w:val="both"/>
            </w:pPr>
            <w:r>
              <w:rPr>
                <w:sz w:val="24"/>
              </w:rPr>
              <w:t>①坐标系统：2000国家大地坐标系。</w:t>
            </w:r>
          </w:p>
          <w:p>
            <w:pPr>
              <w:pStyle w:val="null3"/>
              <w:jc w:val="both"/>
            </w:pPr>
            <w:r>
              <w:rPr>
                <w:sz w:val="24"/>
              </w:rPr>
              <w:t>②高程基准：1985国家高程基准。</w:t>
            </w:r>
          </w:p>
          <w:p>
            <w:pPr>
              <w:pStyle w:val="null3"/>
              <w:jc w:val="both"/>
            </w:pPr>
            <w:r>
              <w:rPr>
                <w:sz w:val="24"/>
              </w:rPr>
              <w:t>2、图斑提取精度指标：采集的图斑地物边界和位置应与影像上地物的边界和位置套合，影像上分界明显的地类界线采集精度应控制在5个像素以内；特殊情况下，如高层建筑物遮挡、阴影等，采集精度应控制在10个像素以内。</w:t>
            </w:r>
          </w:p>
          <w:p>
            <w:pPr>
              <w:pStyle w:val="null3"/>
              <w:jc w:val="both"/>
            </w:pPr>
            <w:r>
              <w:rPr>
                <w:sz w:val="24"/>
              </w:rPr>
              <w:t>3、图斑面积指标</w:t>
            </w:r>
          </w:p>
          <w:p>
            <w:pPr>
              <w:pStyle w:val="null3"/>
              <w:jc w:val="both"/>
            </w:pPr>
            <w:r>
              <w:rPr>
                <w:sz w:val="24"/>
              </w:rPr>
              <w:t>①建设用地、设施农业用地、光伏板实地面积≥200㎡；</w:t>
            </w:r>
          </w:p>
          <w:p>
            <w:pPr>
              <w:pStyle w:val="null3"/>
              <w:jc w:val="both"/>
            </w:pPr>
            <w:r>
              <w:rPr>
                <w:sz w:val="24"/>
              </w:rPr>
              <w:t>②农用地（不含设施农用地）实地面积≥400㎡；</w:t>
            </w:r>
          </w:p>
          <w:p>
            <w:pPr>
              <w:pStyle w:val="null3"/>
              <w:jc w:val="both"/>
            </w:pPr>
            <w:r>
              <w:rPr>
                <w:sz w:val="24"/>
              </w:rPr>
              <w:t>③其他地类实地面积≥600㎡。</w:t>
            </w:r>
          </w:p>
          <w:p>
            <w:pPr>
              <w:pStyle w:val="null3"/>
              <w:jc w:val="both"/>
            </w:pPr>
            <w:r>
              <w:rPr>
                <w:sz w:val="24"/>
              </w:rPr>
              <w:t>4、数据内容及格式</w:t>
            </w:r>
          </w:p>
          <w:p>
            <w:pPr>
              <w:pStyle w:val="null3"/>
              <w:jc w:val="both"/>
            </w:pPr>
            <w:r>
              <w:rPr>
                <w:sz w:val="24"/>
              </w:rPr>
              <w:t>①韶关市2024年度耕地保护风险排查项目——耕地现状摸查成果按县区分库，分别存放在分项ArcGIS数据库中，采用FileGeoDataBase格式储存。</w:t>
            </w:r>
          </w:p>
          <w:p>
            <w:pPr>
              <w:pStyle w:val="null3"/>
              <w:jc w:val="both"/>
            </w:pPr>
            <w:r>
              <w:rPr>
                <w:sz w:val="24"/>
              </w:rPr>
              <w:t>②韶关市2024年度耕地保护风险排查项目——耕地现状摸查成果数据以要素类的形式分别存储在对应的矢量数据库（gdb）中，包含2023年疑似非耕地图斑数据、2023年疑似非耕地图斑2019年至2022年历年历史地类追溯数据。</w:t>
            </w:r>
          </w:p>
        </w:tc>
      </w:tr>
      <w:tr>
        <w:tc>
          <w:tcPr>
            <w:tcW w:type="dxa" w:w="2076"/>
          </w:tcPr>
          <w:p/>
        </w:tc>
        <w:tc>
          <w:tcPr>
            <w:tcW w:type="dxa" w:w="415"/>
          </w:tcPr>
          <w:p>
            <w:pPr>
              <w:pStyle w:val="null3"/>
            </w:pPr>
            <w:r>
              <w:rPr/>
              <w:t>7</w:t>
            </w:r>
          </w:p>
        </w:tc>
        <w:tc>
          <w:tcPr>
            <w:tcW w:type="dxa" w:w="5814"/>
          </w:tcPr>
          <w:p>
            <w:pPr>
              <w:pStyle w:val="null3"/>
              <w:jc w:val="both"/>
            </w:pPr>
            <w:r>
              <w:rPr>
                <w:sz w:val="24"/>
                <w:b/>
              </w:rPr>
              <w:t>七、提交成果</w:t>
            </w:r>
          </w:p>
          <w:p>
            <w:pPr>
              <w:pStyle w:val="null3"/>
              <w:jc w:val="both"/>
            </w:pPr>
            <w:r>
              <w:rPr>
                <w:sz w:val="24"/>
              </w:rPr>
              <w:t>完成每一阶段数据生产工作后，根据项目要求，对项目成果进行整理。</w:t>
            </w:r>
          </w:p>
          <w:p>
            <w:pPr>
              <w:pStyle w:val="null3"/>
              <w:ind w:firstLine="360"/>
              <w:jc w:val="center"/>
            </w:pPr>
            <w:r>
              <w:rPr>
                <w:sz w:val="24"/>
              </w:rPr>
              <w:t>表</w:t>
            </w:r>
            <w:r>
              <w:rPr>
                <w:sz w:val="24"/>
              </w:rPr>
              <w:t>1数据成果目录</w:t>
            </w:r>
          </w:p>
          <w:tbl>
            <w:tblPr>
              <w:tblBorders>
                <w:top w:val="none" w:color="000000" w:sz="4"/>
                <w:left w:val="none" w:color="000000" w:sz="4"/>
                <w:bottom w:val="none" w:color="000000" w:sz="4"/>
                <w:right w:val="none" w:color="000000" w:sz="4"/>
                <w:insideH w:val="none"/>
                <w:insideV w:val="none"/>
              </w:tblBorders>
            </w:tblPr>
            <w:tblGrid>
              <w:gridCol w:w="810"/>
              <w:gridCol w:w="1993"/>
              <w:gridCol w:w="690"/>
              <w:gridCol w:w="744"/>
              <w:gridCol w:w="132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成果名称</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格式</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汇交介质</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w:t>
                  </w:r>
                  <w:r>
                    <w:rPr>
                      <w:sz w:val="24"/>
                    </w:rPr>
                    <w:t>2024年度耕地保护风险排查项目——耕地现状摸查成果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gdb</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移动硬盘</w:t>
                  </w:r>
                  <w:r>
                    <w:rPr>
                      <w:sz w:val="24"/>
                    </w:rPr>
                    <w:t>/光盘</w:t>
                  </w:r>
                </w:p>
              </w:tc>
            </w:tr>
          </w:tbl>
          <w:p>
            <w:pPr>
              <w:pStyle w:val="null3"/>
              <w:ind w:firstLine="360"/>
              <w:jc w:val="center"/>
            </w:pPr>
            <w:r>
              <w:rPr>
                <w:sz w:val="24"/>
              </w:rPr>
              <w:t>表</w:t>
            </w:r>
            <w:r>
              <w:rPr>
                <w:sz w:val="24"/>
              </w:rPr>
              <w:t>2项目文档目录</w:t>
            </w:r>
          </w:p>
          <w:tbl>
            <w:tblPr>
              <w:tblBorders>
                <w:top w:val="none" w:color="000000" w:sz="4"/>
                <w:left w:val="none" w:color="000000" w:sz="4"/>
                <w:bottom w:val="none" w:color="000000" w:sz="4"/>
                <w:right w:val="none" w:color="000000" w:sz="4"/>
                <w:insideH w:val="none"/>
                <w:insideV w:val="none"/>
              </w:tblBorders>
            </w:tblPr>
            <w:tblGrid>
              <w:gridCol w:w="787"/>
              <w:gridCol w:w="2815"/>
              <w:gridCol w:w="997"/>
              <w:gridCol w:w="975"/>
            </w:tblGrid>
            <w:tr>
              <w:tc>
                <w:tcPr>
                  <w:tcW w:type="dxa" w:w="7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文档名称</w:t>
                  </w:r>
                </w:p>
              </w:tc>
              <w:tc>
                <w:tcPr>
                  <w:tcW w:type="dxa" w:w="19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787"/>
                  <w:vMerge/>
                  <w:tcBorders>
                    <w:top w:val="single" w:color="000000" w:sz="4"/>
                    <w:left w:val="single" w:color="000000" w:sz="4"/>
                    <w:bottom w:val="single" w:color="000000" w:sz="4"/>
                    <w:right w:val="single" w:color="000000" w:sz="4"/>
                  </w:tcBorders>
                </w:tcPr>
                <w:p/>
              </w:tc>
              <w:tc>
                <w:tcPr>
                  <w:tcW w:type="dxa" w:w="2815"/>
                  <w:vMerge/>
                  <w:tcBorders>
                    <w:top w:val="single" w:color="000000" w:sz="4"/>
                    <w:left w:val="none" w:color="000000" w:sz="4"/>
                    <w:bottom w:val="single" w:color="000000" w:sz="4"/>
                    <w:right w:val="single" w:color="000000" w:sz="4"/>
                  </w:tcBorders>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pdf</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纸质</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技术设计书</w:t>
                  </w:r>
                </w:p>
                <w:p>
                  <w:pPr>
                    <w:pStyle w:val="null3"/>
                    <w:jc w:val="center"/>
                  </w:p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质检报告</w:t>
                  </w:r>
                </w:p>
                <w:p>
                  <w:pPr>
                    <w:pStyle w:val="null3"/>
                    <w:jc w:val="center"/>
                  </w:p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技术总结</w:t>
                  </w:r>
                </w:p>
                <w:p>
                  <w:pPr>
                    <w:pStyle w:val="null3"/>
                    <w:jc w:val="center"/>
                  </w:p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bl>
          <w:p/>
        </w:tc>
      </w:tr>
      <w:tr>
        <w:tc>
          <w:tcPr>
            <w:tcW w:type="dxa" w:w="2076"/>
          </w:tcPr>
          <w:p/>
        </w:tc>
        <w:tc>
          <w:tcPr>
            <w:tcW w:type="dxa" w:w="415"/>
          </w:tcPr>
          <w:p>
            <w:pPr>
              <w:pStyle w:val="null3"/>
            </w:pPr>
            <w:r>
              <w:rPr/>
              <w:t>8</w:t>
            </w:r>
          </w:p>
        </w:tc>
        <w:tc>
          <w:tcPr>
            <w:tcW w:type="dxa" w:w="5814"/>
          </w:tcPr>
          <w:p>
            <w:pPr>
              <w:pStyle w:val="null3"/>
              <w:jc w:val="both"/>
            </w:pPr>
            <w:r>
              <w:rPr>
                <w:sz w:val="24"/>
                <w:b/>
              </w:rPr>
              <w:t>八、人员和仪器设备配置要求</w:t>
            </w:r>
          </w:p>
          <w:p>
            <w:pPr>
              <w:pStyle w:val="null3"/>
              <w:jc w:val="both"/>
            </w:pPr>
            <w:r>
              <w:rPr>
                <w:sz w:val="24"/>
              </w:rPr>
              <w:t>1、响应供应商应为本项目配备一个完善且固定的项目服务团队，包括项目负责人（1人）、技术负责人（1人）、其他项目组成人员。调配工作能力强、经验丰富的专业技术人员开展此项工作，并对人员开展技术培训，使其熟悉相关技术规程，明确工作要求，掌握工作方法。</w:t>
            </w:r>
          </w:p>
          <w:p>
            <w:pPr>
              <w:pStyle w:val="null3"/>
              <w:jc w:val="both"/>
            </w:pPr>
            <w:r>
              <w:rPr>
                <w:sz w:val="24"/>
              </w:rPr>
              <w:t>2、响应供应商需根据项目工作要求配备仪器设备，包括但不限于：计算机、数据采集入库软件、文字编辑软件、打印设备等。</w:t>
            </w:r>
          </w:p>
        </w:tc>
      </w:tr>
      <w:tr>
        <w:tc>
          <w:tcPr>
            <w:tcW w:type="dxa" w:w="2076"/>
          </w:tcPr>
          <w:p/>
        </w:tc>
        <w:tc>
          <w:tcPr>
            <w:tcW w:type="dxa" w:w="415"/>
          </w:tcPr>
          <w:p>
            <w:pPr>
              <w:pStyle w:val="null3"/>
            </w:pPr>
            <w:r>
              <w:rPr/>
              <w:t>9</w:t>
            </w:r>
          </w:p>
        </w:tc>
        <w:tc>
          <w:tcPr>
            <w:tcW w:type="dxa" w:w="5814"/>
          </w:tcPr>
          <w:p>
            <w:pPr>
              <w:pStyle w:val="null3"/>
              <w:jc w:val="both"/>
            </w:pPr>
            <w:r>
              <w:rPr>
                <w:sz w:val="24"/>
                <w:b/>
              </w:rPr>
              <w:t>九、保密要求</w:t>
            </w:r>
          </w:p>
          <w:p>
            <w:pPr>
              <w:pStyle w:val="null3"/>
              <w:jc w:val="both"/>
            </w:pPr>
            <w:r>
              <w:rPr>
                <w:sz w:val="24"/>
              </w:rPr>
              <w:t>1、成交供应商</w:t>
            </w:r>
            <w:r>
              <w:rPr>
                <w:sz w:val="24"/>
              </w:rPr>
              <w:t>对相关保密法规</w:t>
            </w:r>
            <w:r>
              <w:rPr>
                <w:sz w:val="24"/>
              </w:rPr>
              <w:t>及主要保密内容有一定</w:t>
            </w:r>
            <w:r>
              <w:rPr>
                <w:sz w:val="24"/>
              </w:rPr>
              <w:t>认识，</w:t>
            </w:r>
            <w:r>
              <w:rPr>
                <w:sz w:val="24"/>
              </w:rPr>
              <w:t>在工作过程中接触到的采购人的任何资料、文件、数据</w:t>
            </w:r>
            <w:r>
              <w:rPr>
                <w:sz w:val="24"/>
              </w:rPr>
              <w:t>(无论是书面形式的还是电子版的)，以及对为采购人服务形成的任何交付物，负有保密的责任。未经采购人书面同意，成交供应商不得以任何方式向任何第三方提供或透露。</w:t>
            </w:r>
          </w:p>
          <w:p>
            <w:pPr>
              <w:pStyle w:val="null3"/>
              <w:jc w:val="both"/>
            </w:pPr>
            <w:r>
              <w:rPr>
                <w:sz w:val="24"/>
              </w:rPr>
              <w:t>2、成交供应商不得将涉密资料在计算机互联网、政务网等非涉密网络上传输、登载</w:t>
            </w:r>
            <w:r>
              <w:rPr>
                <w:sz w:val="24"/>
              </w:rPr>
              <w:t>，</w:t>
            </w:r>
            <w:r>
              <w:rPr>
                <w:sz w:val="24"/>
              </w:rPr>
              <w:t>制定</w:t>
            </w:r>
            <w:r>
              <w:rPr>
                <w:sz w:val="24"/>
              </w:rPr>
              <w:t>保密制度与执行保障</w:t>
            </w:r>
            <w:r>
              <w:rPr>
                <w:sz w:val="24"/>
              </w:rPr>
              <w:t>。</w:t>
            </w:r>
          </w:p>
          <w:p>
            <w:pPr>
              <w:pStyle w:val="null3"/>
              <w:jc w:val="both"/>
            </w:pPr>
            <w:r>
              <w:rPr>
                <w:sz w:val="24"/>
              </w:rPr>
              <w:t>3、成交供应商发生涉密资料外传、丢失、被盗或者造成泄密事故的，应采取有效措施，及时补救，并及时向采购人报告；否则所造成的后果均由成交供应商承担。</w:t>
            </w:r>
          </w:p>
        </w:tc>
      </w:tr>
      <w:tr>
        <w:tc>
          <w:tcPr>
            <w:tcW w:type="dxa" w:w="2076"/>
          </w:tcPr>
          <w:p/>
        </w:tc>
        <w:tc>
          <w:tcPr>
            <w:tcW w:type="dxa" w:w="415"/>
          </w:tcPr>
          <w:p>
            <w:pPr>
              <w:pStyle w:val="null3"/>
            </w:pPr>
            <w:r>
              <w:rPr/>
              <w:t>10</w:t>
            </w:r>
          </w:p>
        </w:tc>
        <w:tc>
          <w:tcPr>
            <w:tcW w:type="dxa" w:w="5814"/>
          </w:tcPr>
          <w:p>
            <w:pPr>
              <w:pStyle w:val="null3"/>
              <w:jc w:val="both"/>
            </w:pPr>
            <w:r>
              <w:rPr>
                <w:sz w:val="24"/>
                <w:b/>
              </w:rPr>
              <w:t>十、结项要求</w:t>
            </w:r>
          </w:p>
          <w:p>
            <w:pPr>
              <w:pStyle w:val="null3"/>
              <w:jc w:val="both"/>
            </w:pPr>
            <w:r>
              <w:rPr>
                <w:sz w:val="24"/>
              </w:rPr>
              <w:t>开展项目验收工作。按照相关要求按时完成成果汇交和归档工作。</w:t>
            </w:r>
          </w:p>
        </w:tc>
      </w:tr>
      <w:tr>
        <w:tc>
          <w:tcPr>
            <w:tcW w:type="dxa" w:w="2076"/>
          </w:tcPr>
          <w:p/>
        </w:tc>
        <w:tc>
          <w:tcPr>
            <w:tcW w:type="dxa" w:w="415"/>
          </w:tcPr>
          <w:p>
            <w:pPr>
              <w:pStyle w:val="null3"/>
            </w:pPr>
            <w:r>
              <w:rPr/>
              <w:t>11</w:t>
            </w:r>
          </w:p>
        </w:tc>
        <w:tc>
          <w:tcPr>
            <w:tcW w:type="dxa" w:w="5814"/>
          </w:tcPr>
          <w:p>
            <w:pPr>
              <w:pStyle w:val="null3"/>
              <w:jc w:val="both"/>
            </w:pPr>
            <w:r>
              <w:rPr>
                <w:sz w:val="24"/>
                <w:b/>
              </w:rPr>
              <w:t>十</w:t>
            </w:r>
            <w:r>
              <w:rPr>
                <w:sz w:val="24"/>
                <w:b/>
              </w:rPr>
              <w:t>一</w:t>
            </w:r>
            <w:r>
              <w:rPr>
                <w:sz w:val="24"/>
                <w:b/>
              </w:rPr>
              <w:t>、</w:t>
            </w:r>
            <w:r>
              <w:rPr>
                <w:sz w:val="24"/>
                <w:b/>
              </w:rPr>
              <w:t>质量保障</w:t>
            </w:r>
          </w:p>
          <w:p>
            <w:pPr>
              <w:pStyle w:val="null3"/>
              <w:jc w:val="both"/>
            </w:pPr>
            <w:r>
              <w:rPr>
                <w:sz w:val="24"/>
              </w:rPr>
              <w:t>根据项目要求、为保障服务质量，</w:t>
            </w:r>
            <w:r>
              <w:rPr>
                <w:sz w:val="24"/>
              </w:rPr>
              <w:t>供应商</w:t>
            </w:r>
            <w:r>
              <w:rPr>
                <w:sz w:val="24"/>
              </w:rPr>
              <w:t>提供</w:t>
            </w:r>
            <w:r>
              <w:rPr>
                <w:sz w:val="24"/>
              </w:rPr>
              <w:t>质量保障措施</w:t>
            </w:r>
            <w:r>
              <w:rPr>
                <w:sz w:val="24"/>
              </w:rPr>
              <w:t>及承诺</w:t>
            </w:r>
            <w:r>
              <w:rPr>
                <w:sz w:val="24"/>
              </w:rPr>
              <w:t>，对实施过程中可能出现的技术、组织等问题</w:t>
            </w:r>
            <w:r>
              <w:rPr>
                <w:sz w:val="24"/>
              </w:rPr>
              <w:t>提供</w:t>
            </w:r>
            <w:r>
              <w:rPr>
                <w:sz w:val="24"/>
              </w:rPr>
              <w:t>应对预案，对措施实施完成后可能出现的不良技术后果或可能存在的技术目标不能达成情况的补救措施</w:t>
            </w:r>
            <w:r>
              <w:rPr>
                <w:sz w:val="24"/>
              </w:rPr>
              <w:t>等质量保障方案</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韶关市自然资源局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成交供应商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下浮20%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韶关市2024年度耕地保护风险排查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采购包1（韶关市2024年度耕地保护风险排查项目）：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采购包1（韶关市2024年度耕地保护风险排查项目）：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副本复印件。分支机构投标的，须提供总公司和分公司营业执照副本复印件，总公司出具给分支机构的授权书，组成联合体时联合体各方需提供。</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响应文件中提供《资格条件承诺函》，组成联合体时联合体各方需提供（格式详见竞争性磋商文件“第二章 采购需求”）</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响应文件中提供《资格条件承诺函》，组成联合体时联合体各方需提供（格式详见竞争性磋商文件“第二章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响应文件中提供《资格条件承诺函》，组成联合体时联合体各方需提供（格式详见竞争性磋商文件“第二章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响应文件中提供《资格条件承诺函》，组成联合体时联合体各方需提供（格式详见竞争性磋商文件“第二章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本次采购接受联合体磋商，联合体以一个供应商的身份共同磋商。 ①联合体成员数量不超过2个。②联合体各方应按竞争性磋商文件提供的格式签订联合体协议书，明确联合体牵头人和各方权利义务，并承诺就成交项目向采购人承担连带责任。《联合体协议书》作为响应文件的组成部分向采购人提交。③联合体各方不得再以自己名义单独或参加其他联合体在本采购项目中磋商，否则各相关磋商均无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供应商以联合体形式参加采购活动，联合体各方均为中小微型企业；（中小微企业以供应商填写的《中小企业声明函》为判定标准，残疾人福利性单位以供应商填写的《残疾人福利性单位声明函》为判定标准，详见响应文件格式；监狱企业须供应商提供由省级以上监狱管理局、戒毒管理局（含新疆生产建设兵团）出具的属于监狱企业的证明文件，否则不予认定）。【本服务项目标的按照《中小企业划型标准规定》（工信部联企业[2011]300号）划分行业为：其他未列明行业】。</w:t>
            </w:r>
          </w:p>
        </w:tc>
      </w:tr>
    </w:tbl>
    <w:p>
      <w:pPr>
        <w:pStyle w:val="null3"/>
        <w:ind w:firstLine="480"/>
      </w:pPr>
      <w:r>
        <w:rPr/>
        <w:t>表二符合性审查表：</w:t>
      </w:r>
    </w:p>
    <w:p>
      <w:pPr>
        <w:pStyle w:val="null3"/>
      </w:pPr>
      <w:r>
        <w:rPr/>
        <w:t>采购包1（韶关市2024年度耕地保护风险排查项目）：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响应文件按竞争性磋商文件要求签署、盖章的；</w:t>
            </w:r>
          </w:p>
        </w:tc>
      </w:tr>
      <w:tr>
        <w:tc>
          <w:tcPr>
            <w:tcW w:type="dxa" w:w="890"/>
          </w:tcPr>
          <w:p>
            <w:pPr>
              <w:pStyle w:val="null3"/>
            </w:pPr>
            <w:r>
              <w:rPr/>
              <w:t>2</w:t>
            </w:r>
          </w:p>
        </w:tc>
        <w:tc>
          <w:tcPr>
            <w:tcW w:type="dxa" w:w="3178"/>
          </w:tcPr>
          <w:p>
            <w:pPr>
              <w:pStyle w:val="null3"/>
            </w:pPr>
            <w:r>
              <w:rPr/>
              <w:t>磋商报价</w:t>
            </w:r>
          </w:p>
        </w:tc>
        <w:tc>
          <w:tcPr>
            <w:tcW w:type="dxa" w:w="4238"/>
          </w:tcPr>
          <w:p>
            <w:pPr>
              <w:pStyle w:val="null3"/>
            </w:pPr>
            <w:r>
              <w:rPr/>
              <w:t>①磋商报价未超过采购文件中规定的最高限价或采购项目预算价的；②响应文件未出现选择性报价或有附加条件报价的情形的；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响应文件完全满足竞争性磋商文件的实质性条款（即标注★号条款）无负偏离的；</w:t>
            </w:r>
          </w:p>
        </w:tc>
      </w:tr>
      <w:tr>
        <w:tc>
          <w:tcPr>
            <w:tcW w:type="dxa" w:w="890"/>
          </w:tcPr>
          <w:p>
            <w:pPr>
              <w:pStyle w:val="null3"/>
            </w:pPr>
            <w:r>
              <w:rPr/>
              <w:t>4</w:t>
            </w:r>
          </w:p>
        </w:tc>
        <w:tc>
          <w:tcPr>
            <w:tcW w:type="dxa" w:w="3178"/>
          </w:tcPr>
          <w:p>
            <w:pPr>
              <w:pStyle w:val="null3"/>
            </w:pPr>
            <w:r>
              <w:rPr/>
              <w:t>磋商无效响应情况</w:t>
            </w:r>
          </w:p>
        </w:tc>
        <w:tc>
          <w:tcPr>
            <w:tcW w:type="dxa" w:w="4238"/>
          </w:tcPr>
          <w:p>
            <w:pPr>
              <w:pStyle w:val="null3"/>
            </w:pPr>
            <w:r>
              <w:rPr/>
              <w:t>①响应文件没有竞争性磋商文件中规定的其他无效响应条款的；②按有关法律、法规、规章不属于磋商无效的。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采购包1(韶关市2024年度耕地保护风险排查项目):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项目负责人 (8.0分)</w:t>
            </w:r>
          </w:p>
        </w:tc>
        <w:tc>
          <w:tcPr>
            <w:tcW w:type="dxa" w:w="5076"/>
          </w:tcPr>
          <w:p>
            <w:pPr>
              <w:pStyle w:val="null3"/>
              <w:jc w:val="left"/>
            </w:pPr>
            <w:r>
              <w:rPr/>
              <w:t>供应商拟投入本项目的项目负责人（1人）以下情况进行评审： 1、项目负责人具备国土类、测绘类、城乡规划类之一相关专业高级职称（教授级或副教授级）的，得5分，具备国土类、测绘类、城乡规划类之一相关专业中级职称的，得1分； 注：同时提供：①证书复印件或打印件；②提供人员磋商截止前近3个月内任意一个月社保证明并加盖公章；提供不齐全不得分。 2、项目负责人曾作为负责人承接过同类项目相关业绩，得3分，没有不得分。 注：同时提供：①合同复印件；②提供项目负责人的磋商截止前近3个月内任意一个月社保证明并加盖公章；提供不齐全不得分。</w:t>
            </w:r>
          </w:p>
        </w:tc>
      </w:tr>
      <w:tr>
        <w:tc>
          <w:tcPr>
            <w:tcW w:type="dxa" w:w="922"/>
            <w:gridSpan w:val="2"/>
            <w:vMerge/>
          </w:tcPr>
          <w:p/>
        </w:tc>
        <w:tc>
          <w:tcPr>
            <w:tcW w:type="dxa" w:w="2307"/>
          </w:tcPr>
          <w:p>
            <w:pPr>
              <w:pStyle w:val="null3"/>
              <w:jc w:val="left"/>
            </w:pPr>
            <w:r>
              <w:rPr/>
              <w:t>项目团队规模实力 (8.0分)</w:t>
            </w:r>
          </w:p>
        </w:tc>
        <w:tc>
          <w:tcPr>
            <w:tcW w:type="dxa" w:w="5076"/>
          </w:tcPr>
          <w:p>
            <w:pPr>
              <w:pStyle w:val="null3"/>
              <w:jc w:val="left"/>
            </w:pPr>
            <w:r>
              <w:rPr/>
              <w:t>供应商拟投入本项目团队其他人员要求（该评审项不包含项目负责人）以下情况进行评审：具有国土类、测绘类、城乡规划类之一相关专业中级及以上技术职的，每提供1人得1分，最高得8分。 注：同时提供：①证书复印件或打印件；②提供人员磋商截止前近3个月内任意一个月为上述人员政府有关部门盖章的缴纳记录的有效社保证明材料加盖公章；提供不齐全不得分。</w:t>
            </w:r>
          </w:p>
        </w:tc>
      </w:tr>
      <w:tr>
        <w:tc>
          <w:tcPr>
            <w:tcW w:type="dxa" w:w="922"/>
            <w:gridSpan w:val="2"/>
            <w:vMerge/>
          </w:tcPr>
          <w:p/>
        </w:tc>
        <w:tc>
          <w:tcPr>
            <w:tcW w:type="dxa" w:w="2307"/>
          </w:tcPr>
          <w:p>
            <w:pPr>
              <w:pStyle w:val="null3"/>
              <w:jc w:val="left"/>
            </w:pPr>
            <w:r>
              <w:rPr/>
              <w:t>项目理解1 (6.0分)</w:t>
            </w:r>
          </w:p>
        </w:tc>
        <w:tc>
          <w:tcPr>
            <w:tcW w:type="dxa" w:w="5076"/>
          </w:tcPr>
          <w:p>
            <w:pPr>
              <w:pStyle w:val="null3"/>
              <w:jc w:val="left"/>
            </w:pPr>
            <w:r>
              <w:rPr/>
              <w:t>根据供应商对本项目的理解提供的阐述材料（包括但不限于①项目政策方针及背景的理解、②工作内容的理解、③项目需要的相关技术的理解等）进行评审： 1、方案中每提供一项上述内容得2分，最高得6分。</w:t>
            </w:r>
          </w:p>
        </w:tc>
      </w:tr>
      <w:tr>
        <w:tc>
          <w:tcPr>
            <w:tcW w:type="dxa" w:w="922"/>
            <w:gridSpan w:val="2"/>
            <w:vMerge/>
          </w:tcPr>
          <w:p/>
        </w:tc>
        <w:tc>
          <w:tcPr>
            <w:tcW w:type="dxa" w:w="2307"/>
          </w:tcPr>
          <w:p>
            <w:pPr>
              <w:pStyle w:val="null3"/>
              <w:jc w:val="left"/>
            </w:pPr>
            <w:r>
              <w:rPr/>
              <w:t>项目理解2 (6.0分)</w:t>
            </w:r>
            <w:r>
              <w:rPr/>
              <w:t>，（等次分值选择：</w:t>
            </w:r>
            <w:r>
              <w:rPr/>
              <w:t>0.0;</w:t>
            </w:r>
            <w:r>
              <w:rPr/>
              <w:t>1.0;</w:t>
            </w:r>
            <w:r>
              <w:rPr/>
              <w:t>3.0;</w:t>
            </w:r>
            <w:r>
              <w:rPr/>
              <w:t>6.0;</w:t>
            </w:r>
            <w:r>
              <w:rPr/>
              <w:t>）</w:t>
            </w:r>
          </w:p>
        </w:tc>
        <w:tc>
          <w:tcPr>
            <w:tcW w:type="dxa" w:w="5076"/>
          </w:tcPr>
          <w:p>
            <w:pPr>
              <w:pStyle w:val="null3"/>
              <w:jc w:val="left"/>
            </w:pPr>
            <w:r>
              <w:rPr/>
              <w:t>2、在满足上述“项目理解1”的基础上对方案内容进行评审： （1）能够完整阐述项目需求，对项目认识全面具体、思路清晰，对政策方针了解清楚的，得6分； （2）对项目需求理解程度一般，对项目认识基本全面具体、思路基本清晰，对政策方针了解较清楚的，得3分； （3）对项目需求理解存在部分偏差，对项目认识不全面具体、思路不清晰，对政策方针了解不清楚的，得1分。 注：无提供不得分。</w:t>
            </w:r>
          </w:p>
        </w:tc>
      </w:tr>
      <w:tr>
        <w:tc>
          <w:tcPr>
            <w:tcW w:type="dxa" w:w="922"/>
            <w:gridSpan w:val="2"/>
            <w:vMerge/>
          </w:tcPr>
          <w:p/>
        </w:tc>
        <w:tc>
          <w:tcPr>
            <w:tcW w:type="dxa" w:w="2307"/>
          </w:tcPr>
          <w:p>
            <w:pPr>
              <w:pStyle w:val="null3"/>
              <w:jc w:val="left"/>
            </w:pPr>
            <w:r>
              <w:rPr/>
              <w:t>项目实施方案1 (6.0分)</w:t>
            </w:r>
          </w:p>
        </w:tc>
        <w:tc>
          <w:tcPr>
            <w:tcW w:type="dxa" w:w="5076"/>
          </w:tcPr>
          <w:p>
            <w:pPr>
              <w:pStyle w:val="null3"/>
              <w:jc w:val="left"/>
            </w:pPr>
            <w:r>
              <w:rPr/>
              <w:t>供应商需提供项目实施方案（方案包含①项目实施人力资源安排②项目实施组织③项目进度计划等）进行评审： 1、方案中每提供一项上述内容得2分，最高得6分。</w:t>
            </w:r>
          </w:p>
        </w:tc>
      </w:tr>
      <w:tr>
        <w:tc>
          <w:tcPr>
            <w:tcW w:type="dxa" w:w="922"/>
            <w:gridSpan w:val="2"/>
            <w:vMerge/>
          </w:tcPr>
          <w:p/>
        </w:tc>
        <w:tc>
          <w:tcPr>
            <w:tcW w:type="dxa" w:w="2307"/>
          </w:tcPr>
          <w:p>
            <w:pPr>
              <w:pStyle w:val="null3"/>
              <w:jc w:val="left"/>
            </w:pPr>
            <w:r>
              <w:rPr/>
              <w:t>项目实施方案2 (6.0分)</w:t>
            </w:r>
            <w:r>
              <w:rPr/>
              <w:t>，（等次分值选择：</w:t>
            </w:r>
            <w:r>
              <w:rPr/>
              <w:t>0.0;</w:t>
            </w:r>
            <w:r>
              <w:rPr/>
              <w:t>1.0;</w:t>
            </w:r>
            <w:r>
              <w:rPr/>
              <w:t>3.0;</w:t>
            </w:r>
            <w:r>
              <w:rPr/>
              <w:t>6.0;</w:t>
            </w:r>
            <w:r>
              <w:rPr/>
              <w:t>）</w:t>
            </w:r>
          </w:p>
        </w:tc>
        <w:tc>
          <w:tcPr>
            <w:tcW w:type="dxa" w:w="5076"/>
          </w:tcPr>
          <w:p>
            <w:pPr>
              <w:pStyle w:val="null3"/>
              <w:jc w:val="left"/>
            </w:pPr>
            <w:r>
              <w:rPr/>
              <w:t>2、在满足上述“项目实施方案1”的基础上对方案内容进行评审： （1）供应商提供的项目实施人力资源安排分工明确，项目实施组织方案有针对性，项目进度计划科学合理，得6分； （2）供应商提供的项目实施人力资源安排分工较明确，项目实施组织方案较有针对性，项目进度计划基本合理，得3分； （3）供应商提供的项目实施人力资源安排分工不较明确，项目实施组织方案不够有针对性，项目进度计划不够合理，得1分； 注：无提供不得分。</w:t>
            </w:r>
          </w:p>
        </w:tc>
      </w:tr>
      <w:tr>
        <w:tc>
          <w:tcPr>
            <w:tcW w:type="dxa" w:w="922"/>
            <w:gridSpan w:val="2"/>
            <w:vMerge/>
          </w:tcPr>
          <w:p/>
        </w:tc>
        <w:tc>
          <w:tcPr>
            <w:tcW w:type="dxa" w:w="2307"/>
          </w:tcPr>
          <w:p>
            <w:pPr>
              <w:pStyle w:val="null3"/>
              <w:jc w:val="left"/>
            </w:pPr>
            <w:r>
              <w:rPr/>
              <w:t>保密方案1 (3.0分)</w:t>
            </w:r>
          </w:p>
        </w:tc>
        <w:tc>
          <w:tcPr>
            <w:tcW w:type="dxa" w:w="5076"/>
          </w:tcPr>
          <w:p>
            <w:pPr>
              <w:pStyle w:val="null3"/>
              <w:jc w:val="left"/>
            </w:pPr>
            <w:r>
              <w:rPr/>
              <w:t>根据供应商提供的保密方案（方案包括①对相关保密法规的认识②对本项目主要保密内容的认识③保密制度与执行保障）进行综合评审： 1、方案中每提供一项上述内容得1分，最高得3分。</w:t>
            </w:r>
          </w:p>
        </w:tc>
      </w:tr>
      <w:tr>
        <w:tc>
          <w:tcPr>
            <w:tcW w:type="dxa" w:w="922"/>
            <w:gridSpan w:val="2"/>
            <w:vMerge/>
          </w:tcPr>
          <w:p/>
        </w:tc>
        <w:tc>
          <w:tcPr>
            <w:tcW w:type="dxa" w:w="2307"/>
          </w:tcPr>
          <w:p>
            <w:pPr>
              <w:pStyle w:val="null3"/>
              <w:jc w:val="left"/>
            </w:pPr>
            <w:r>
              <w:rPr/>
              <w:t>保密方案2 (7.0分)</w:t>
            </w:r>
            <w:r>
              <w:rPr/>
              <w:t>，（等次分值选择：</w:t>
            </w:r>
            <w:r>
              <w:rPr/>
              <w:t>0.0;</w:t>
            </w:r>
            <w:r>
              <w:rPr/>
              <w:t>1.0;</w:t>
            </w:r>
            <w:r>
              <w:rPr/>
              <w:t>4.0;</w:t>
            </w:r>
            <w:r>
              <w:rPr/>
              <w:t>7.0;</w:t>
            </w:r>
            <w:r>
              <w:rPr/>
              <w:t>）</w:t>
            </w:r>
          </w:p>
        </w:tc>
        <w:tc>
          <w:tcPr>
            <w:tcW w:type="dxa" w:w="5076"/>
          </w:tcPr>
          <w:p>
            <w:pPr>
              <w:pStyle w:val="null3"/>
              <w:jc w:val="left"/>
            </w:pPr>
            <w:r>
              <w:rPr/>
              <w:t>2、在满足上述“保密方案1”的基础上对方案内容进行评审： （1）对相关保密法规的认识理解透彻，对本项目主要保密内容的认识能完全理解，保密制度与执行保障方案规范可行的，得7分。 （2）对相关保密法规的认识理解基本了解，对本项目主要保密内容的认识基本理解，保密制度与执行保障方案基本规范可行的，得4分。 （3）对相关保密法规的认识理解不了解，对本项目主要保密内容的认识不理解，保密制度与执行保障方案不规范可行的，得1分。 注：未提供方案不得分。</w:t>
            </w:r>
          </w:p>
        </w:tc>
      </w:tr>
      <w:tr>
        <w:tc>
          <w:tcPr>
            <w:tcW w:type="dxa" w:w="922"/>
            <w:gridSpan w:val="2"/>
            <w:vMerge/>
          </w:tcPr>
          <w:p/>
        </w:tc>
        <w:tc>
          <w:tcPr>
            <w:tcW w:type="dxa" w:w="2307"/>
          </w:tcPr>
          <w:p>
            <w:pPr>
              <w:pStyle w:val="null3"/>
              <w:jc w:val="left"/>
            </w:pPr>
            <w:r>
              <w:rPr/>
              <w:t>质量保障方案1 (4.0分)</w:t>
            </w:r>
          </w:p>
        </w:tc>
        <w:tc>
          <w:tcPr>
            <w:tcW w:type="dxa" w:w="5076"/>
          </w:tcPr>
          <w:p>
            <w:pPr>
              <w:pStyle w:val="null3"/>
              <w:jc w:val="left"/>
            </w:pPr>
            <w:r>
              <w:rPr/>
              <w:t>根据供应商提供的质量保证方案（包括①质量保障措施②质保保障服务承诺③对实施过程中可能出现的技术、组织等问题应对预案④对措施实施完成后可能出现的不良技术后果或可能存在的技术目标不能达成情况的补救措施）进行评审： 1、方案中每提供一项上述内容得1分，最高得4分。</w:t>
            </w:r>
          </w:p>
        </w:tc>
      </w:tr>
      <w:tr>
        <w:tc>
          <w:tcPr>
            <w:tcW w:type="dxa" w:w="922"/>
            <w:gridSpan w:val="2"/>
            <w:vMerge/>
          </w:tcPr>
          <w:p/>
        </w:tc>
        <w:tc>
          <w:tcPr>
            <w:tcW w:type="dxa" w:w="2307"/>
          </w:tcPr>
          <w:p>
            <w:pPr>
              <w:pStyle w:val="null3"/>
              <w:jc w:val="left"/>
            </w:pPr>
            <w:r>
              <w:rPr/>
              <w:t>质量保障方案2 (6.0分)</w:t>
            </w:r>
            <w:r>
              <w:rPr/>
              <w:t>，（等次分值选择：</w:t>
            </w:r>
            <w:r>
              <w:rPr/>
              <w:t>0.0;</w:t>
            </w:r>
            <w:r>
              <w:rPr/>
              <w:t>1.0;</w:t>
            </w:r>
            <w:r>
              <w:rPr/>
              <w:t>3.0;</w:t>
            </w:r>
            <w:r>
              <w:rPr/>
              <w:t>6.0;</w:t>
            </w:r>
            <w:r>
              <w:rPr/>
              <w:t>）</w:t>
            </w:r>
          </w:p>
        </w:tc>
        <w:tc>
          <w:tcPr>
            <w:tcW w:type="dxa" w:w="5076"/>
          </w:tcPr>
          <w:p>
            <w:pPr>
              <w:pStyle w:val="null3"/>
              <w:jc w:val="left"/>
            </w:pPr>
            <w:r>
              <w:rPr/>
              <w:t>2、在满足上述“质量保障方案1”的基础上对方案内容进行评审： （1）方案完整，保障措施具体、完善，服务承诺、预期目标合理的，得6分； （2）方案基本完整，保障措施基本具体、基本完善，服务承诺、预期目标基本合理的，得3分； （3）方案不够完整，保障措施不够具体、不够完善，服务承诺、预期目标不够合理的，得1分； 注：未提供方案不得分。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相关认证及证书 (6.0分)</w:t>
            </w:r>
          </w:p>
        </w:tc>
        <w:tc>
          <w:tcPr>
            <w:tcW w:type="dxa" w:w="5076"/>
          </w:tcPr>
          <w:p>
            <w:pPr>
              <w:pStyle w:val="null3"/>
              <w:jc w:val="left"/>
            </w:pPr>
            <w:r>
              <w:rPr/>
              <w:t>供应商具有有效的质量管理体系、职业健康安全管理体系、环境管理体系认证证书的，每个得2分，满分6分。 注： （1）提供有效期内的：①组成联合体指联合体牵头人、②认证证书复印件、③在国家认监委网站（网址：http://www.cnca.gov.cn/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同类或类似项目业绩 (15.0分)</w:t>
            </w:r>
          </w:p>
        </w:tc>
        <w:tc>
          <w:tcPr>
            <w:tcW w:type="dxa" w:w="5076"/>
          </w:tcPr>
          <w:p>
            <w:pPr>
              <w:pStyle w:val="null3"/>
              <w:jc w:val="left"/>
            </w:pPr>
            <w:r>
              <w:rPr/>
              <w:t>供应商承担过同类项目经验的，每提供一项得3分，最高得15分。 注：①组成联合体指联合体其中任意一方；②提供合同复印件作证明材料。</w:t>
            </w:r>
          </w:p>
        </w:tc>
      </w:tr>
      <w:tr>
        <w:tc>
          <w:tcPr>
            <w:tcW w:type="dxa" w:w="922"/>
            <w:gridSpan w:val="2"/>
            <w:vMerge/>
          </w:tcPr>
          <w:p/>
        </w:tc>
        <w:tc>
          <w:tcPr>
            <w:tcW w:type="dxa" w:w="2307"/>
          </w:tcPr>
          <w:p>
            <w:pPr>
              <w:pStyle w:val="null3"/>
              <w:jc w:val="left"/>
            </w:pPr>
            <w:r>
              <w:rPr/>
              <w:t>售后服务方案1 (4.0分)</w:t>
            </w:r>
          </w:p>
        </w:tc>
        <w:tc>
          <w:tcPr>
            <w:tcW w:type="dxa" w:w="5076"/>
          </w:tcPr>
          <w:p>
            <w:pPr>
              <w:pStyle w:val="null3"/>
              <w:jc w:val="left"/>
            </w:pPr>
            <w:r>
              <w:rPr/>
              <w:t>供应商需提供售后服务方案（方案包含①售后服务人员安排②服务方式③响应时间④项目出现问题后的解决方案等）进行评审： 1、方案中每提供一项上述内容得1分，最高得4分。</w:t>
            </w:r>
          </w:p>
        </w:tc>
      </w:tr>
      <w:tr>
        <w:tc>
          <w:tcPr>
            <w:tcW w:type="dxa" w:w="922"/>
            <w:gridSpan w:val="2"/>
            <w:vMerge/>
          </w:tcPr>
          <w:p/>
        </w:tc>
        <w:tc>
          <w:tcPr>
            <w:tcW w:type="dxa" w:w="2307"/>
          </w:tcPr>
          <w:p>
            <w:pPr>
              <w:pStyle w:val="null3"/>
              <w:jc w:val="left"/>
            </w:pPr>
            <w:r>
              <w:rPr/>
              <w:t>售后服务方案2 (5.0分)</w:t>
            </w:r>
            <w:r>
              <w:rPr/>
              <w:t>，（等次分值选择：</w:t>
            </w:r>
            <w:r>
              <w:rPr/>
              <w:t>0.0;</w:t>
            </w:r>
            <w:r>
              <w:rPr/>
              <w:t>1.0;</w:t>
            </w:r>
            <w:r>
              <w:rPr/>
              <w:t>3.0;</w:t>
            </w:r>
            <w:r>
              <w:rPr/>
              <w:t>5.0;</w:t>
            </w:r>
            <w:r>
              <w:rPr/>
              <w:t>）</w:t>
            </w:r>
          </w:p>
        </w:tc>
        <w:tc>
          <w:tcPr>
            <w:tcW w:type="dxa" w:w="5076"/>
          </w:tcPr>
          <w:p>
            <w:pPr>
              <w:pStyle w:val="null3"/>
              <w:jc w:val="left"/>
            </w:pPr>
            <w:r>
              <w:rPr/>
              <w:t>2、在满足上述“售后服务方案1”的基础上对方案内容进行评审： （1）方案内容详细，应急措施合理，维护措施具有可行性的，得5分； （2）方案内容基本详细，应急措施基本合理，维护措施基本具有可行性的，得3分； （1）方案内容不够详细，应急措施不够合理，维护措施不够具有可行性的，得1分； 注：未提供方案不得分。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注：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jc w:val="both"/>
      </w:pP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2"/>
        <w:jc w:val="both"/>
      </w:pPr>
      <w:r>
        <w:rPr>
          <w:sz w:val="24"/>
          <w:b/>
        </w:rPr>
        <w:t>甲方：</w:t>
      </w:r>
      <w:r>
        <w:rPr>
          <w:sz w:val="21"/>
          <w:b/>
          <w:u w:val="single"/>
        </w:rPr>
        <w:t xml:space="preserve">                           </w:t>
      </w:r>
    </w:p>
    <w:p>
      <w:pPr>
        <w:pStyle w:val="null3"/>
        <w:ind w:firstLine="482"/>
        <w:jc w:val="both"/>
      </w:pPr>
      <w:r>
        <w:rPr>
          <w:sz w:val="24"/>
          <w:b/>
        </w:rPr>
        <w:t>乙方：</w:t>
      </w:r>
      <w:r>
        <w:rPr>
          <w:sz w:val="21"/>
          <w:b/>
          <w:u w:val="single"/>
        </w:rPr>
        <w:t xml:space="preserve">                           </w:t>
      </w:r>
      <w:r>
        <w:rPr>
          <w:sz w:val="21"/>
        </w:rPr>
        <w:t xml:space="preserve">   </w:t>
      </w:r>
    </w:p>
    <w:p>
      <w:pPr>
        <w:pStyle w:val="null3"/>
        <w:ind w:firstLine="470"/>
        <w:jc w:val="both"/>
      </w:pPr>
      <w:r>
        <w:rPr>
          <w:sz w:val="24"/>
        </w:rPr>
        <w:t>根据</w:t>
      </w:r>
      <w:r>
        <w:rPr>
          <w:sz w:val="21"/>
          <w:b/>
          <w:u w:val="single"/>
        </w:rPr>
        <w:t xml:space="preserve">                         </w:t>
      </w:r>
      <w:r>
        <w:rPr>
          <w:sz w:val="21"/>
        </w:rPr>
        <w:t xml:space="preserve"> </w:t>
      </w:r>
      <w:r>
        <w:rPr>
          <w:sz w:val="24"/>
        </w:rPr>
        <w:t>的采购结果，参照《中华人民共和国政府采购法》《中华人民共和国民法典》（合同编）的规定，经双方协商，本着平等互利和诚实信用的原则，一致同意签订本合同如下。</w:t>
      </w:r>
    </w:p>
    <w:p>
      <w:pPr>
        <w:pStyle w:val="null3"/>
        <w:jc w:val="both"/>
      </w:pPr>
      <w:r>
        <w:rPr>
          <w:sz w:val="24"/>
          <w:b/>
        </w:rPr>
        <w:t>一、合同金额</w:t>
      </w:r>
      <w:r>
        <w:rPr>
          <w:sz w:val="24"/>
        </w:rPr>
        <w:t>：</w:t>
      </w:r>
      <w:r>
        <w:rPr>
          <w:sz w:val="21"/>
          <w:u w:val="single"/>
        </w:rPr>
        <w:t xml:space="preserve">                   </w:t>
      </w:r>
      <w:r>
        <w:rPr>
          <w:sz w:val="24"/>
        </w:rPr>
        <w:t>元，大写金额：</w:t>
      </w:r>
      <w:r>
        <w:rPr>
          <w:sz w:val="21"/>
          <w:u w:val="single"/>
        </w:rPr>
        <w:t xml:space="preserve">                   </w:t>
      </w:r>
      <w:r>
        <w:rPr>
          <w:sz w:val="24"/>
        </w:rPr>
        <w:t>。</w:t>
      </w:r>
    </w:p>
    <w:p>
      <w:pPr>
        <w:pStyle w:val="null3"/>
        <w:ind w:firstLine="470"/>
        <w:jc w:val="both"/>
      </w:pPr>
      <w:r>
        <w:rPr>
          <w:sz w:val="24"/>
        </w:rPr>
        <w:t>注：合同价包含但不限于各种人力成本、拟投入仪器设备施成本、资料费、服务费、图纸费、培训费、一切税费（全额含税发票）以及项目实施过程中其它应预见和不可预见的一切费用等。乙方不得再向甲方收取任何费用。</w:t>
      </w:r>
    </w:p>
    <w:p>
      <w:pPr>
        <w:pStyle w:val="null3"/>
        <w:spacing w:before="45" w:after="45"/>
        <w:jc w:val="both"/>
      </w:pPr>
      <w:r>
        <w:rPr>
          <w:sz w:val="24"/>
          <w:b/>
        </w:rPr>
        <w:t>二、标的提供的时间：</w:t>
      </w:r>
      <w:r>
        <w:rPr>
          <w:sz w:val="21"/>
          <w:u w:val="single"/>
        </w:rPr>
        <w:t xml:space="preserve">     </w:t>
      </w:r>
      <w:r>
        <w:rPr>
          <w:sz w:val="24"/>
        </w:rPr>
        <w:t>年</w:t>
      </w:r>
      <w:r>
        <w:rPr>
          <w:sz w:val="21"/>
          <w:u w:val="single"/>
        </w:rPr>
        <w:t xml:space="preserve"> </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1"/>
          <w:u w:val="single"/>
        </w:rPr>
        <w:t xml:space="preserve">   </w:t>
      </w:r>
      <w:r>
        <w:rPr>
          <w:sz w:val="24"/>
        </w:rPr>
        <w:t>日前完成项目全部工作内容并通过验收。</w:t>
      </w:r>
    </w:p>
    <w:p>
      <w:pPr>
        <w:pStyle w:val="null3"/>
        <w:spacing w:before="45" w:after="45"/>
        <w:jc w:val="both"/>
      </w:pPr>
      <w:r>
        <w:rPr>
          <w:sz w:val="24"/>
          <w:b/>
        </w:rPr>
        <w:t>三、服务地点：</w:t>
      </w:r>
      <w:r>
        <w:rPr>
          <w:sz w:val="24"/>
        </w:rPr>
        <w:t>甲方指定地点</w:t>
      </w:r>
    </w:p>
    <w:p>
      <w:pPr>
        <w:pStyle w:val="null3"/>
        <w:jc w:val="both"/>
      </w:pPr>
      <w:r>
        <w:rPr>
          <w:sz w:val="24"/>
          <w:b/>
        </w:rPr>
        <w:t>四</w:t>
      </w:r>
      <w:r>
        <w:rPr>
          <w:sz w:val="24"/>
          <w:b/>
        </w:rPr>
        <w:t>、任务范围</w:t>
      </w:r>
      <w:r>
        <w:rPr>
          <w:sz w:val="24"/>
          <w:b/>
        </w:rPr>
        <w:t>：</w:t>
      </w:r>
      <w:r>
        <w:rPr>
          <w:sz w:val="24"/>
        </w:rPr>
        <w:t>2023年度韶关市国土变更调查“一上”数据库成果城镇村范围外的耕地图斑。</w:t>
      </w:r>
    </w:p>
    <w:p>
      <w:pPr>
        <w:pStyle w:val="null3"/>
        <w:jc w:val="both"/>
      </w:pPr>
      <w:r>
        <w:rPr>
          <w:sz w:val="24"/>
          <w:b/>
        </w:rPr>
        <w:t>五</w:t>
      </w:r>
      <w:r>
        <w:rPr>
          <w:sz w:val="24"/>
          <w:b/>
        </w:rPr>
        <w:t>、标准依据（如有最新的，则按最新的执行）</w:t>
      </w:r>
    </w:p>
    <w:p>
      <w:pPr>
        <w:pStyle w:val="null3"/>
        <w:ind w:firstLine="480"/>
        <w:jc w:val="both"/>
      </w:pPr>
      <w:r>
        <w:rPr>
          <w:sz w:val="24"/>
        </w:rPr>
        <w:t>①《中共中央国务院关于加强耕地保护和改进占补平衡的意见》（中发〔2017〕4号）；</w:t>
      </w:r>
    </w:p>
    <w:p>
      <w:pPr>
        <w:pStyle w:val="null3"/>
        <w:ind w:firstLine="480"/>
        <w:jc w:val="both"/>
      </w:pPr>
      <w:r>
        <w:rPr>
          <w:sz w:val="24"/>
        </w:rPr>
        <w:t>②《自然资源部 农业农村部关于加强和改进永久基本农田保护工作的通知》（自然资规〔2019〕1号）</w:t>
      </w:r>
      <w:r>
        <w:rPr>
          <w:sz w:val="24"/>
        </w:rPr>
        <w:t>；</w:t>
      </w:r>
    </w:p>
    <w:p>
      <w:pPr>
        <w:pStyle w:val="null3"/>
        <w:ind w:firstLine="480"/>
        <w:jc w:val="both"/>
      </w:pPr>
      <w:r>
        <w:rPr>
          <w:sz w:val="24"/>
        </w:rPr>
        <w:t>③《国务院办公厅关于坚决制止耕地“非农化”行为的通知》（国办发明电〔2020〕24号）；</w:t>
      </w:r>
    </w:p>
    <w:p>
      <w:pPr>
        <w:pStyle w:val="null3"/>
        <w:ind w:firstLine="480"/>
        <w:jc w:val="both"/>
      </w:pPr>
      <w:r>
        <w:rPr>
          <w:sz w:val="24"/>
        </w:rPr>
        <w:t>④《广东省人民政府办公厅转发国务院办公厅关于坚决制止耕地“非农化”行为的通知》；</w:t>
      </w:r>
    </w:p>
    <w:p>
      <w:pPr>
        <w:pStyle w:val="null3"/>
        <w:ind w:firstLine="480"/>
        <w:jc w:val="both"/>
      </w:pPr>
      <w:r>
        <w:rPr>
          <w:sz w:val="24"/>
        </w:rPr>
        <w:t>⑤《国务院办公厅关于防止耕地“非粮化”稳定粮食生产的意见》（国办发〔2020〕44号）；</w:t>
      </w:r>
    </w:p>
    <w:p>
      <w:pPr>
        <w:pStyle w:val="null3"/>
        <w:ind w:firstLine="480"/>
        <w:jc w:val="both"/>
      </w:pPr>
      <w:r>
        <w:rPr>
          <w:sz w:val="24"/>
        </w:rPr>
        <w:t>⑥《广东省人民政府办公厅关于印发广东省防止耕地“非粮化”稳定粮食生产工作方案的通知》（粤办函〔2021〕2号）；</w:t>
      </w:r>
    </w:p>
    <w:p>
      <w:pPr>
        <w:pStyle w:val="null3"/>
        <w:ind w:firstLine="480"/>
        <w:jc w:val="both"/>
      </w:pPr>
      <w:r>
        <w:rPr>
          <w:sz w:val="24"/>
        </w:rPr>
        <w:t>⑦《耕地卫片监督方案》（自然资办发〔2021〕32号）；</w:t>
      </w:r>
    </w:p>
    <w:p>
      <w:pPr>
        <w:pStyle w:val="null3"/>
        <w:ind w:firstLine="480"/>
        <w:jc w:val="both"/>
      </w:pPr>
      <w:r>
        <w:rPr>
          <w:sz w:val="24"/>
        </w:rPr>
        <w:t>⑧《广东省人民政府印发关于进一步加强和改进耕地保护工作若干措施的通知》（粤府函〔2021〕130号）；</w:t>
      </w:r>
    </w:p>
    <w:p>
      <w:pPr>
        <w:pStyle w:val="null3"/>
        <w:ind w:firstLine="480"/>
        <w:jc w:val="both"/>
      </w:pPr>
      <w:r>
        <w:rPr>
          <w:sz w:val="24"/>
        </w:rPr>
        <w:t>⑨《自然资源部 农业农村部 国家林业和草原局关于严格耕地用途管制有关问题的通知》（自然资发〔2021〕166号）；</w:t>
      </w:r>
    </w:p>
    <w:p>
      <w:pPr>
        <w:pStyle w:val="null3"/>
        <w:ind w:firstLine="480"/>
        <w:jc w:val="both"/>
      </w:pPr>
      <w:r>
        <w:rPr>
          <w:sz w:val="24"/>
        </w:rPr>
        <w:t>⑩《广东省自然资源厅 广东省农业农村厅 广东省林业局关于严格耕地用途管制有关问题的通知》（粤自然资源函〔2022〕434号）；</w:t>
      </w:r>
    </w:p>
    <w:p>
      <w:pPr>
        <w:pStyle w:val="null3"/>
        <w:ind w:firstLine="480"/>
        <w:jc w:val="both"/>
      </w:pPr>
      <w:r>
        <w:rPr>
          <w:sz w:val="24"/>
        </w:rPr>
        <w:t>⑪《自然资源部办公厅关于进一步加强补充耕地项目管理 严格新增耕地核实认定的通知》（自然资办发〔2022〕36号）；</w:t>
      </w:r>
    </w:p>
    <w:p>
      <w:pPr>
        <w:pStyle w:val="null3"/>
        <w:ind w:firstLine="480"/>
        <w:jc w:val="both"/>
      </w:pPr>
      <w:r>
        <w:rPr>
          <w:sz w:val="24"/>
        </w:rPr>
        <w:t>⑫《国土变更调查技术规程（2022年度使用）》；</w:t>
      </w:r>
    </w:p>
    <w:p>
      <w:pPr>
        <w:pStyle w:val="null3"/>
        <w:ind w:firstLine="480"/>
        <w:jc w:val="both"/>
      </w:pPr>
      <w:r>
        <w:rPr>
          <w:sz w:val="24"/>
        </w:rPr>
        <w:t>⑬《关于印发〈广东省补充耕地项目管理办法〉的通知》（粤自然资函〔2023〕88号）；</w:t>
      </w:r>
    </w:p>
    <w:p>
      <w:pPr>
        <w:pStyle w:val="null3"/>
        <w:ind w:firstLine="480"/>
        <w:jc w:val="both"/>
      </w:pPr>
      <w:r>
        <w:rPr>
          <w:sz w:val="24"/>
        </w:rPr>
        <w:t>⑭《自然资源部办公厅关于开展全国耕地后备资源调查评价工作的通知》（自然资办发〔2021〕47号）；</w:t>
      </w:r>
    </w:p>
    <w:p>
      <w:pPr>
        <w:pStyle w:val="null3"/>
        <w:ind w:firstLine="480"/>
        <w:jc w:val="both"/>
      </w:pPr>
      <w:r>
        <w:rPr>
          <w:sz w:val="24"/>
        </w:rPr>
        <w:t>⑮其他政策文件及技术要求、指导意见</w:t>
      </w:r>
      <w:r>
        <w:rPr>
          <w:sz w:val="24"/>
        </w:rPr>
        <w:t>。</w:t>
      </w:r>
    </w:p>
    <w:p>
      <w:pPr>
        <w:pStyle w:val="null3"/>
        <w:jc w:val="both"/>
      </w:pPr>
      <w:r>
        <w:rPr>
          <w:sz w:val="24"/>
          <w:b/>
        </w:rPr>
        <w:t>六</w:t>
      </w:r>
      <w:r>
        <w:rPr>
          <w:sz w:val="24"/>
          <w:b/>
        </w:rPr>
        <w:t>、项目目标</w:t>
      </w:r>
    </w:p>
    <w:p>
      <w:pPr>
        <w:pStyle w:val="null3"/>
        <w:ind w:firstLine="480"/>
        <w:jc w:val="both"/>
      </w:pPr>
      <w:r>
        <w:rPr>
          <w:sz w:val="24"/>
        </w:rPr>
        <w:t>根据自然资源部、农业农村部、国家林业和草原局联合下发《关于严格耕地用途管制有关问题的通知》（自然资发〔</w:t>
      </w:r>
      <w:r>
        <w:rPr>
          <w:sz w:val="24"/>
        </w:rPr>
        <w:t>2021〕166号），明确提出了耕地用途管制及其具体管控措施和要求，要求“根据本级政府承担的耕地保有量目标，对耕地转为其他农用地及农业设施建设用地实行年度‘进出平衡’”。《广东省自然资源厅 广东省农业农村厅 广东省林业局关于严格耕地用途管制有关问题的通知》（粤自然资源函〔2022〕434号），为各地实行年度耕地“进出平衡”明确了工作指引</w:t>
      </w:r>
      <w:r>
        <w:rPr>
          <w:sz w:val="24"/>
        </w:rPr>
        <w:t>，</w:t>
      </w:r>
      <w:r>
        <w:rPr>
          <w:sz w:val="24"/>
        </w:rPr>
        <w:t>2024年度国家实现耕地占补平衡改革，要求在实现耕地总量平衡的基础上，逐步恢复耕地回补上一轮规划耕地保护目标任务缺口。</w:t>
      </w:r>
      <w:r>
        <w:rPr>
          <w:sz w:val="24"/>
        </w:rPr>
        <w:t>随着耕地后备资源越来越少，耕地</w:t>
      </w:r>
      <w:r>
        <w:rPr>
          <w:sz w:val="24"/>
        </w:rPr>
        <w:t>“非粮化”、“非农化”行为亟需更全面有力的监测监督管理</w:t>
      </w:r>
      <w:r>
        <w:rPr>
          <w:sz w:val="24"/>
        </w:rPr>
        <w:t>，</w:t>
      </w:r>
      <w:r>
        <w:rPr>
          <w:sz w:val="24"/>
        </w:rPr>
        <w:t>为</w:t>
      </w:r>
      <w:r>
        <w:rPr>
          <w:sz w:val="24"/>
        </w:rPr>
        <w:t>有效</w:t>
      </w:r>
      <w:r>
        <w:rPr>
          <w:sz w:val="24"/>
        </w:rPr>
        <w:t>遏制耕地流出，现开展韶关市</w:t>
      </w:r>
      <w:r>
        <w:rPr>
          <w:sz w:val="24"/>
        </w:rPr>
        <w:t>2024年度耕地保护风险排查工作。</w:t>
      </w:r>
    </w:p>
    <w:p>
      <w:pPr>
        <w:pStyle w:val="null3"/>
        <w:jc w:val="both"/>
      </w:pPr>
      <w:r>
        <w:rPr>
          <w:sz w:val="24"/>
          <w:b/>
        </w:rPr>
        <w:t>七</w:t>
      </w:r>
      <w:r>
        <w:rPr>
          <w:sz w:val="24"/>
          <w:b/>
        </w:rPr>
        <w:t>、项目内容</w:t>
      </w:r>
    </w:p>
    <w:p>
      <w:pPr>
        <w:pStyle w:val="null3"/>
        <w:ind w:firstLine="480"/>
        <w:jc w:val="both"/>
      </w:pPr>
      <w:r>
        <w:rPr>
          <w:sz w:val="24"/>
        </w:rPr>
        <w:t>1、提取2023年存在流出风险的图斑</w:t>
      </w:r>
    </w:p>
    <w:p>
      <w:pPr>
        <w:pStyle w:val="null3"/>
        <w:ind w:firstLine="480"/>
        <w:jc w:val="both"/>
      </w:pPr>
      <w:r>
        <w:rPr>
          <w:sz w:val="24"/>
        </w:rPr>
        <w:t>以</w:t>
      </w:r>
      <w:r>
        <w:rPr>
          <w:sz w:val="24"/>
        </w:rPr>
        <w:t>2023年度国土变更调查耕地地类图斑为监测范围，利用2023年光学遥感影像进行解译核查，识别并提取监测范围内影像纹理特征为非耕地的范围，形成疑似非耕地图斑。</w:t>
      </w:r>
    </w:p>
    <w:p>
      <w:pPr>
        <w:pStyle w:val="null3"/>
        <w:ind w:firstLine="480"/>
        <w:jc w:val="both"/>
      </w:pPr>
      <w:r>
        <w:rPr>
          <w:sz w:val="24"/>
        </w:rPr>
        <w:t>2、疑似非耕地图斑地类认定</w:t>
      </w:r>
    </w:p>
    <w:p>
      <w:pPr>
        <w:pStyle w:val="null3"/>
        <w:ind w:firstLine="480"/>
        <w:jc w:val="both"/>
      </w:pPr>
      <w:r>
        <w:rPr>
          <w:sz w:val="24"/>
        </w:rPr>
        <w:t>对提取的疑似非耕地图斑，根据影像纹理判定图斑地类，同时判定图斑地类是否为重点监督类型。</w:t>
      </w:r>
    </w:p>
    <w:p>
      <w:pPr>
        <w:pStyle w:val="null3"/>
        <w:ind w:firstLine="480"/>
        <w:jc w:val="both"/>
      </w:pPr>
      <w:r>
        <w:rPr>
          <w:sz w:val="24"/>
        </w:rPr>
        <w:t>重点监督类型如下：</w:t>
      </w:r>
    </w:p>
    <w:p>
      <w:pPr>
        <w:pStyle w:val="null3"/>
        <w:ind w:firstLine="480"/>
        <w:jc w:val="both"/>
      </w:pPr>
      <w:r>
        <w:rPr>
          <w:sz w:val="24"/>
        </w:rPr>
        <w:t>①绿化造林。</w:t>
      </w:r>
    </w:p>
    <w:p>
      <w:pPr>
        <w:pStyle w:val="null3"/>
        <w:ind w:firstLine="480"/>
        <w:jc w:val="both"/>
      </w:pPr>
      <w:r>
        <w:rPr>
          <w:sz w:val="24"/>
        </w:rPr>
        <w:t>②绿色通道。</w:t>
      </w:r>
    </w:p>
    <w:p>
      <w:pPr>
        <w:pStyle w:val="null3"/>
        <w:ind w:firstLine="480"/>
        <w:jc w:val="both"/>
      </w:pPr>
      <w:r>
        <w:rPr>
          <w:sz w:val="24"/>
        </w:rPr>
        <w:t>③种植人工草皮。</w:t>
      </w:r>
    </w:p>
    <w:p>
      <w:pPr>
        <w:pStyle w:val="null3"/>
        <w:ind w:firstLine="480"/>
        <w:jc w:val="both"/>
      </w:pPr>
      <w:r>
        <w:rPr>
          <w:sz w:val="24"/>
        </w:rPr>
        <w:t>④挖湖造景。</w:t>
      </w:r>
    </w:p>
    <w:p>
      <w:pPr>
        <w:pStyle w:val="null3"/>
        <w:ind w:firstLine="480"/>
        <w:jc w:val="both"/>
      </w:pPr>
      <w:r>
        <w:rPr>
          <w:sz w:val="24"/>
        </w:rPr>
        <w:t>3、疑似非耕地图斑历史地类追溯</w:t>
      </w:r>
    </w:p>
    <w:p>
      <w:pPr>
        <w:pStyle w:val="null3"/>
        <w:ind w:firstLine="480"/>
        <w:jc w:val="both"/>
      </w:pPr>
      <w:r>
        <w:rPr>
          <w:sz w:val="24"/>
        </w:rPr>
        <w:t>以提取的疑似非耕地图斑为基础，利用</w:t>
      </w:r>
      <w:r>
        <w:rPr>
          <w:sz w:val="24"/>
        </w:rPr>
        <w:t>2019、2020、2021、2022年光学遥感影像对疑似非耕地图斑自“三调”以来历史地类开展追溯。</w:t>
      </w:r>
    </w:p>
    <w:p>
      <w:pPr>
        <w:pStyle w:val="null3"/>
        <w:jc w:val="both"/>
      </w:pPr>
      <w:r>
        <w:rPr>
          <w:sz w:val="24"/>
          <w:b/>
        </w:rPr>
        <w:t>八</w:t>
      </w:r>
      <w:r>
        <w:rPr>
          <w:sz w:val="24"/>
          <w:b/>
        </w:rPr>
        <w:t>、相关技术指标</w:t>
      </w:r>
    </w:p>
    <w:p>
      <w:pPr>
        <w:pStyle w:val="null3"/>
        <w:ind w:firstLine="480"/>
        <w:jc w:val="both"/>
      </w:pPr>
      <w:r>
        <w:rPr>
          <w:sz w:val="24"/>
        </w:rPr>
        <w:t>1、数学基础</w:t>
      </w:r>
    </w:p>
    <w:p>
      <w:pPr>
        <w:pStyle w:val="null3"/>
        <w:ind w:firstLine="480"/>
        <w:jc w:val="both"/>
      </w:pPr>
      <w:r>
        <w:rPr>
          <w:sz w:val="24"/>
        </w:rPr>
        <w:t>①坐标系统：2000国家大地坐标系。</w:t>
      </w:r>
    </w:p>
    <w:p>
      <w:pPr>
        <w:pStyle w:val="null3"/>
        <w:ind w:firstLine="480"/>
        <w:jc w:val="both"/>
      </w:pPr>
      <w:r>
        <w:rPr>
          <w:sz w:val="24"/>
        </w:rPr>
        <w:t>②高程基准：1985国家高程基准。</w:t>
      </w:r>
    </w:p>
    <w:p>
      <w:pPr>
        <w:pStyle w:val="null3"/>
        <w:ind w:firstLine="480"/>
        <w:jc w:val="both"/>
      </w:pPr>
      <w:r>
        <w:rPr>
          <w:sz w:val="24"/>
        </w:rPr>
        <w:t>2、图斑提取精度指标：采集的图斑地物边界和位置应与影像上地物的边界和位置套合，影像上分界明显的地类界线采集精度应控制在5个像素以内；特殊情况下，如高层建筑物遮挡、阴影等，采集精度应控制在10个像素以内。</w:t>
      </w:r>
    </w:p>
    <w:p>
      <w:pPr>
        <w:pStyle w:val="null3"/>
        <w:ind w:firstLine="480"/>
        <w:jc w:val="both"/>
      </w:pPr>
      <w:r>
        <w:rPr>
          <w:sz w:val="24"/>
        </w:rPr>
        <w:t>3、图斑面积指标</w:t>
      </w:r>
    </w:p>
    <w:p>
      <w:pPr>
        <w:pStyle w:val="null3"/>
        <w:ind w:firstLine="480"/>
        <w:jc w:val="both"/>
      </w:pPr>
      <w:r>
        <w:rPr>
          <w:sz w:val="24"/>
        </w:rPr>
        <w:t>①建设用地、设施农业用地、光伏板实地面积≥200㎡；</w:t>
      </w:r>
    </w:p>
    <w:p>
      <w:pPr>
        <w:pStyle w:val="null3"/>
        <w:ind w:firstLine="480"/>
        <w:jc w:val="both"/>
      </w:pPr>
      <w:r>
        <w:rPr>
          <w:sz w:val="24"/>
        </w:rPr>
        <w:t>②农用地（不含设施农用地）实地面积≥400㎡；</w:t>
      </w:r>
    </w:p>
    <w:p>
      <w:pPr>
        <w:pStyle w:val="null3"/>
        <w:ind w:firstLine="480"/>
        <w:jc w:val="both"/>
      </w:pPr>
      <w:r>
        <w:rPr>
          <w:sz w:val="24"/>
        </w:rPr>
        <w:t>③其他地类实地面积≥600㎡。</w:t>
      </w:r>
    </w:p>
    <w:p>
      <w:pPr>
        <w:pStyle w:val="null3"/>
        <w:ind w:firstLine="480"/>
        <w:jc w:val="both"/>
      </w:pPr>
      <w:r>
        <w:rPr>
          <w:sz w:val="24"/>
        </w:rPr>
        <w:t>4、数据内容及格式</w:t>
      </w:r>
    </w:p>
    <w:p>
      <w:pPr>
        <w:pStyle w:val="null3"/>
        <w:ind w:firstLine="480"/>
        <w:jc w:val="both"/>
      </w:pPr>
      <w:r>
        <w:rPr>
          <w:sz w:val="24"/>
        </w:rPr>
        <w:t>①韶关市2024年度耕地保护风险排查项目——耕地现状摸查成果按县区分库，分别存放在分项ArcGIS数据库中，采用FileGeoDataBase格式储存。</w:t>
      </w:r>
    </w:p>
    <w:p>
      <w:pPr>
        <w:pStyle w:val="null3"/>
        <w:ind w:firstLine="480"/>
        <w:jc w:val="both"/>
      </w:pPr>
      <w:r>
        <w:rPr>
          <w:sz w:val="24"/>
        </w:rPr>
        <w:t>②韶关市2024年度耕地保护风险排查项目——耕地现状摸查成果数据以要素类的形式分别存储在对应的矢量数据库（gdb）中，包含2023年疑似非耕地图斑数据、2023年疑似非耕地图斑2019年至2022年历年历史地类追溯数据。</w:t>
      </w:r>
    </w:p>
    <w:p>
      <w:pPr>
        <w:pStyle w:val="null3"/>
        <w:jc w:val="both"/>
      </w:pPr>
      <w:r>
        <w:rPr>
          <w:sz w:val="24"/>
          <w:b/>
        </w:rPr>
        <w:t>九</w:t>
      </w:r>
      <w:r>
        <w:rPr>
          <w:sz w:val="24"/>
          <w:b/>
        </w:rPr>
        <w:t>、提交成果</w:t>
      </w:r>
    </w:p>
    <w:p>
      <w:pPr>
        <w:pStyle w:val="null3"/>
        <w:jc w:val="both"/>
      </w:pPr>
      <w:r>
        <w:rPr>
          <w:sz w:val="24"/>
        </w:rPr>
        <w:t>完成每一阶段数据生产工作后，根据项目要求，对项目成果进行整理。</w:t>
      </w:r>
    </w:p>
    <w:p>
      <w:pPr>
        <w:pStyle w:val="null3"/>
        <w:ind w:firstLine="360"/>
        <w:jc w:val="center"/>
      </w:pPr>
      <w:r>
        <w:rPr>
          <w:sz w:val="24"/>
        </w:rPr>
        <w:t>表</w:t>
      </w:r>
      <w:r>
        <w:rPr>
          <w:sz w:val="24"/>
        </w:rPr>
        <w:t>1数据成果目录</w:t>
      </w:r>
    </w:p>
    <w:tbl>
      <w:tblPr>
        <w:tblW w:w="0" w:type="auto"/>
        <w:tblBorders>
          <w:top w:val="none" w:color="000000" w:sz="4"/>
          <w:left w:val="none" w:color="000000" w:sz="4"/>
          <w:bottom w:val="none" w:color="000000" w:sz="4"/>
          <w:right w:val="none" w:color="000000" w:sz="4"/>
          <w:insideH w:val="none"/>
          <w:insideV w:val="none"/>
        </w:tblBorders>
      </w:tblPr>
      <w:tblGrid>
        <w:gridCol w:w="1170"/>
        <w:gridCol w:w="2865"/>
        <w:gridCol w:w="990"/>
        <w:gridCol w:w="1080"/>
        <w:gridCol w:w="1905"/>
      </w:tblGrid>
      <w:tr>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成果名称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格式</w:t>
            </w:r>
          </w:p>
        </w:tc>
        <w:tc>
          <w:tcPr>
            <w:tcW w:type="dxa" w:w="1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汇交介质</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w:t>
            </w:r>
            <w:r>
              <w:rPr>
                <w:sz w:val="24"/>
              </w:rPr>
              <w:t>2024年度耕地保护风险排查项目——耕地现状摸查成果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gdb</w:t>
            </w:r>
          </w:p>
        </w:tc>
        <w:tc>
          <w:tcPr>
            <w:tcW w:type="dxa" w:w="1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移动硬盘</w:t>
            </w:r>
            <w:r>
              <w:rPr>
                <w:sz w:val="24"/>
              </w:rPr>
              <w:t>/光盘</w:t>
            </w:r>
          </w:p>
        </w:tc>
      </w:tr>
    </w:tbl>
    <w:p>
      <w:pPr>
        <w:pStyle w:val="null3"/>
        <w:ind w:firstLine="360"/>
        <w:jc w:val="center"/>
      </w:pPr>
      <w:r>
        <w:rPr>
          <w:sz w:val="24"/>
        </w:rPr>
        <w:t>表</w:t>
      </w:r>
      <w:r>
        <w:rPr>
          <w:sz w:val="24"/>
        </w:rPr>
        <w:t>2项目文档目录</w:t>
      </w:r>
    </w:p>
    <w:tbl>
      <w:tblPr>
        <w:tblW w:w="0" w:type="auto"/>
        <w:tblBorders>
          <w:top w:val="none" w:color="000000" w:sz="4"/>
          <w:left w:val="none" w:color="000000" w:sz="4"/>
          <w:bottom w:val="none" w:color="000000" w:sz="4"/>
          <w:right w:val="none" w:color="000000" w:sz="4"/>
          <w:insideH w:val="none"/>
          <w:insideV w:val="none"/>
        </w:tblBorders>
      </w:tblPr>
      <w:tblGrid>
        <w:gridCol w:w="1140"/>
        <w:gridCol w:w="3525"/>
        <w:gridCol w:w="1950"/>
        <w:gridCol w:w="1410"/>
      </w:tblGrid>
      <w:tr>
        <w:tc>
          <w:tcPr>
            <w:tcW w:type="dxa" w:w="11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5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文档名称</w:t>
            </w:r>
          </w:p>
        </w:tc>
        <w:tc>
          <w:tcPr>
            <w:tcW w:type="dxa" w:w="33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1140"/>
            <w:vMerge/>
            <w:tcBorders>
              <w:top w:val="single" w:color="000000" w:sz="4"/>
              <w:left w:val="single" w:color="000000" w:sz="4"/>
              <w:bottom w:val="single" w:color="000000" w:sz="4"/>
              <w:right w:val="single" w:color="000000" w:sz="4"/>
            </w:tcBorders>
          </w:tcPr>
          <w:p/>
        </w:tc>
        <w:tc>
          <w:tcPr>
            <w:tcW w:type="dxa" w:w="3525"/>
            <w:vMerge/>
            <w:tcBorders>
              <w:top w:val="single" w:color="000000" w:sz="4"/>
              <w:left w:val="none" w:color="000000" w:sz="4"/>
              <w:bottom w:val="single" w:color="000000" w:sz="4"/>
              <w:right w:val="single" w:color="000000" w:sz="4"/>
            </w:tcBorders>
          </w:tc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pdf</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纸质</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技术设计书</w:t>
            </w:r>
          </w:p>
          <w:p>
            <w:pPr>
              <w:pStyle w:val="null3"/>
              <w:jc w:val="center"/>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质检报告</w:t>
            </w:r>
          </w:p>
          <w:p>
            <w:pPr>
              <w:pStyle w:val="null3"/>
              <w:jc w:val="center"/>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技术总结</w:t>
            </w:r>
          </w:p>
          <w:p>
            <w:pPr>
              <w:pStyle w:val="null3"/>
              <w:jc w:val="center"/>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bl>
    <w:p>
      <w:pPr>
        <w:pStyle w:val="null3"/>
        <w:jc w:val="both"/>
      </w:pPr>
      <w:r>
        <w:rPr>
          <w:sz w:val="24"/>
          <w:b/>
        </w:rPr>
        <w:t>十</w:t>
      </w:r>
      <w:r>
        <w:rPr>
          <w:sz w:val="24"/>
          <w:b/>
        </w:rPr>
        <w:t>、人员和仪器设备配置要求</w:t>
      </w:r>
    </w:p>
    <w:p>
      <w:pPr>
        <w:pStyle w:val="null3"/>
        <w:ind w:firstLine="480"/>
        <w:jc w:val="both"/>
      </w:pPr>
      <w:r>
        <w:rPr>
          <w:sz w:val="24"/>
        </w:rPr>
        <w:t>1、</w:t>
      </w:r>
      <w:r>
        <w:rPr>
          <w:sz w:val="24"/>
        </w:rPr>
        <w:t>乙方</w:t>
      </w:r>
      <w:r>
        <w:rPr>
          <w:sz w:val="24"/>
        </w:rPr>
        <w:t>应为本项目配备一个完善且固定的项目服务团队，包括项目负责人</w:t>
      </w:r>
      <w:r>
        <w:rPr>
          <w:sz w:val="21"/>
          <w:u w:val="single"/>
        </w:rPr>
        <w:t xml:space="preserve">   </w:t>
      </w:r>
      <w:r>
        <w:rPr>
          <w:sz w:val="24"/>
        </w:rPr>
        <w:t>、技术负责人</w:t>
      </w:r>
      <w:r>
        <w:rPr>
          <w:sz w:val="21"/>
          <w:u w:val="single"/>
        </w:rPr>
        <w:t xml:space="preserve">    </w:t>
      </w:r>
      <w:r>
        <w:rPr>
          <w:sz w:val="24"/>
        </w:rPr>
        <w:t>、其他项目组成人员</w:t>
      </w:r>
      <w:r>
        <w:rPr>
          <w:sz w:val="21"/>
          <w:u w:val="single"/>
        </w:rPr>
        <w:t xml:space="preserve">            </w:t>
      </w:r>
      <w:r>
        <w:rPr>
          <w:sz w:val="24"/>
        </w:rPr>
        <w:t>。调配工作能力强、经验丰富的专业技术人员开展此项工作，并对人员开展技术培训，使其熟悉相关技术规程，明确工作要求，掌握工作方法。</w:t>
      </w:r>
    </w:p>
    <w:p>
      <w:pPr>
        <w:pStyle w:val="null3"/>
        <w:ind w:firstLine="480"/>
        <w:jc w:val="both"/>
      </w:pPr>
      <w:r>
        <w:rPr>
          <w:sz w:val="24"/>
        </w:rPr>
        <w:t>2、</w:t>
      </w:r>
      <w:r>
        <w:rPr>
          <w:sz w:val="24"/>
        </w:rPr>
        <w:t>乙方</w:t>
      </w:r>
      <w:r>
        <w:rPr>
          <w:sz w:val="24"/>
        </w:rPr>
        <w:t>需根据项目工作要求配备仪器设备，包括但不限于：计算机、数据采集入库软件、文字编辑软件、打印设备等。</w:t>
      </w:r>
    </w:p>
    <w:p>
      <w:pPr>
        <w:pStyle w:val="null3"/>
        <w:jc w:val="both"/>
      </w:pPr>
      <w:r>
        <w:rPr>
          <w:sz w:val="24"/>
          <w:b/>
        </w:rPr>
        <w:t>十一</w:t>
      </w:r>
      <w:r>
        <w:rPr>
          <w:sz w:val="24"/>
          <w:b/>
        </w:rPr>
        <w:t>、保密要求</w:t>
      </w:r>
    </w:p>
    <w:p>
      <w:pPr>
        <w:pStyle w:val="null3"/>
        <w:ind w:firstLine="480"/>
        <w:jc w:val="both"/>
      </w:pPr>
      <w:r>
        <w:rPr>
          <w:sz w:val="24"/>
        </w:rPr>
        <w:t>1、</w:t>
      </w:r>
      <w:r>
        <w:rPr>
          <w:sz w:val="24"/>
        </w:rPr>
        <w:t>乙方</w:t>
      </w:r>
      <w:r>
        <w:rPr>
          <w:sz w:val="24"/>
        </w:rPr>
        <w:t>对相关保密法规</w:t>
      </w:r>
      <w:r>
        <w:rPr>
          <w:sz w:val="24"/>
        </w:rPr>
        <w:t>及主要保密内容有一定</w:t>
      </w:r>
      <w:r>
        <w:rPr>
          <w:sz w:val="24"/>
        </w:rPr>
        <w:t>认识，</w:t>
      </w:r>
      <w:r>
        <w:rPr>
          <w:sz w:val="24"/>
        </w:rPr>
        <w:t>在工作过程中接触到的</w:t>
      </w:r>
      <w:r>
        <w:rPr>
          <w:sz w:val="24"/>
        </w:rPr>
        <w:t>甲方</w:t>
      </w:r>
      <w:r>
        <w:rPr>
          <w:sz w:val="24"/>
        </w:rPr>
        <w:t>的任何资料、文件、数据</w:t>
      </w:r>
      <w:r>
        <w:rPr>
          <w:sz w:val="24"/>
        </w:rPr>
        <w:t>(无论是书面形式的还是电子版的)，以及对为</w:t>
      </w:r>
      <w:r>
        <w:rPr>
          <w:sz w:val="24"/>
        </w:rPr>
        <w:t>甲方</w:t>
      </w:r>
      <w:r>
        <w:rPr>
          <w:sz w:val="24"/>
        </w:rPr>
        <w:t>服务形成的任何交付物，负有保密的责任。未经</w:t>
      </w:r>
      <w:r>
        <w:rPr>
          <w:sz w:val="24"/>
        </w:rPr>
        <w:t>甲方</w:t>
      </w:r>
      <w:r>
        <w:rPr>
          <w:sz w:val="24"/>
        </w:rPr>
        <w:t>书面同意，</w:t>
      </w:r>
      <w:r>
        <w:rPr>
          <w:sz w:val="24"/>
        </w:rPr>
        <w:t>乙方</w:t>
      </w:r>
      <w:r>
        <w:rPr>
          <w:sz w:val="24"/>
        </w:rPr>
        <w:t>不得以任何方式向任何第三方提供或透露。</w:t>
      </w:r>
    </w:p>
    <w:p>
      <w:pPr>
        <w:pStyle w:val="null3"/>
        <w:ind w:firstLine="480"/>
        <w:jc w:val="both"/>
      </w:pPr>
      <w:r>
        <w:rPr>
          <w:sz w:val="24"/>
        </w:rPr>
        <w:t>2、</w:t>
      </w:r>
      <w:r>
        <w:rPr>
          <w:sz w:val="24"/>
        </w:rPr>
        <w:t>乙方</w:t>
      </w:r>
      <w:r>
        <w:rPr>
          <w:sz w:val="24"/>
        </w:rPr>
        <w:t>不得将涉密资料在计算机互联网、政务网等非涉密网络上传输、登载</w:t>
      </w:r>
      <w:r>
        <w:rPr>
          <w:sz w:val="24"/>
        </w:rPr>
        <w:t>，</w:t>
      </w:r>
      <w:r>
        <w:rPr>
          <w:sz w:val="24"/>
        </w:rPr>
        <w:t>制定</w:t>
      </w:r>
      <w:r>
        <w:rPr>
          <w:sz w:val="24"/>
        </w:rPr>
        <w:t>保密制度与执行保障</w:t>
      </w:r>
      <w:r>
        <w:rPr>
          <w:sz w:val="24"/>
        </w:rPr>
        <w:t>。</w:t>
      </w:r>
    </w:p>
    <w:p>
      <w:pPr>
        <w:pStyle w:val="null3"/>
        <w:ind w:firstLine="480"/>
        <w:jc w:val="both"/>
      </w:pPr>
      <w:r>
        <w:rPr>
          <w:sz w:val="24"/>
        </w:rPr>
        <w:t>3、</w:t>
      </w:r>
      <w:r>
        <w:rPr>
          <w:sz w:val="24"/>
        </w:rPr>
        <w:t>乙方</w:t>
      </w:r>
      <w:r>
        <w:rPr>
          <w:sz w:val="24"/>
        </w:rPr>
        <w:t>发生涉密资料外传、丢失、被盗或者造成泄密事故的，应采取有效措施，及时补救，并及时向</w:t>
      </w:r>
      <w:r>
        <w:rPr>
          <w:sz w:val="24"/>
        </w:rPr>
        <w:t>甲方</w:t>
      </w:r>
      <w:r>
        <w:rPr>
          <w:sz w:val="24"/>
        </w:rPr>
        <w:t>报告；否则所造成的后果均由</w:t>
      </w:r>
      <w:r>
        <w:rPr>
          <w:sz w:val="24"/>
        </w:rPr>
        <w:t>乙方</w:t>
      </w:r>
      <w:r>
        <w:rPr>
          <w:sz w:val="24"/>
        </w:rPr>
        <w:t>承担。</w:t>
      </w:r>
    </w:p>
    <w:p>
      <w:pPr>
        <w:pStyle w:val="null3"/>
        <w:jc w:val="both"/>
      </w:pPr>
      <w:r>
        <w:rPr>
          <w:sz w:val="24"/>
          <w:b/>
        </w:rPr>
        <w:t>十</w:t>
      </w:r>
      <w:r>
        <w:rPr>
          <w:sz w:val="24"/>
          <w:b/>
        </w:rPr>
        <w:t>二</w:t>
      </w:r>
      <w:r>
        <w:rPr>
          <w:sz w:val="24"/>
          <w:b/>
        </w:rPr>
        <w:t>、质量保障</w:t>
      </w:r>
    </w:p>
    <w:p>
      <w:pPr>
        <w:pStyle w:val="null3"/>
        <w:ind w:firstLine="480"/>
        <w:jc w:val="both"/>
      </w:pPr>
      <w:r>
        <w:rPr>
          <w:sz w:val="24"/>
        </w:rPr>
        <w:t>根据项目要求、为保障服务质量，</w:t>
      </w:r>
      <w:r>
        <w:rPr>
          <w:sz w:val="24"/>
        </w:rPr>
        <w:t>供应商</w:t>
      </w:r>
      <w:r>
        <w:rPr>
          <w:sz w:val="24"/>
        </w:rPr>
        <w:t>提供质量保障措施及承诺，对实施过程中可能出现的技术、组织等问题提供应对预案，对措施实施完成后可能出现的不良技术后果或可能存在的技术目标不能达成情况的补救措施等质量保障方案。</w:t>
      </w:r>
    </w:p>
    <w:p>
      <w:pPr>
        <w:pStyle w:val="null3"/>
        <w:jc w:val="both"/>
      </w:pPr>
      <w:r>
        <w:rPr>
          <w:sz w:val="24"/>
          <w:b/>
        </w:rPr>
        <w:t>十</w:t>
      </w:r>
      <w:r>
        <w:rPr>
          <w:sz w:val="24"/>
          <w:b/>
        </w:rPr>
        <w:t>三</w:t>
      </w:r>
      <w:r>
        <w:rPr>
          <w:sz w:val="24"/>
          <w:b/>
        </w:rPr>
        <w:t>、结项要求</w:t>
      </w:r>
    </w:p>
    <w:p>
      <w:pPr>
        <w:pStyle w:val="null3"/>
        <w:ind w:firstLine="480"/>
        <w:jc w:val="both"/>
      </w:pPr>
      <w:r>
        <w:rPr>
          <w:sz w:val="24"/>
        </w:rPr>
        <w:t>开展项目验收工作。按照相关要求按时完成成果汇交和归档工作。</w:t>
      </w:r>
    </w:p>
    <w:p>
      <w:pPr>
        <w:pStyle w:val="null3"/>
        <w:spacing w:before="45" w:after="45"/>
        <w:jc w:val="both"/>
      </w:pPr>
      <w:r>
        <w:rPr>
          <w:sz w:val="24"/>
          <w:b/>
        </w:rPr>
        <w:t>十</w:t>
      </w:r>
      <w:r>
        <w:rPr>
          <w:sz w:val="24"/>
          <w:b/>
        </w:rPr>
        <w:t>四</w:t>
      </w:r>
      <w:r>
        <w:rPr>
          <w:sz w:val="24"/>
          <w:b/>
        </w:rPr>
        <w:t>、验收要求</w:t>
      </w:r>
    </w:p>
    <w:p>
      <w:pPr>
        <w:pStyle w:val="null3"/>
        <w:ind w:firstLine="480"/>
        <w:jc w:val="both"/>
      </w:pPr>
      <w:r>
        <w:rPr>
          <w:sz w:val="24"/>
        </w:rPr>
        <w:t>1、项目竣工后，</w:t>
      </w:r>
      <w:r>
        <w:rPr>
          <w:sz w:val="24"/>
        </w:rPr>
        <w:t>乙方</w:t>
      </w:r>
      <w:r>
        <w:rPr>
          <w:sz w:val="24"/>
        </w:rPr>
        <w:t>向</w:t>
      </w:r>
      <w:r>
        <w:rPr>
          <w:sz w:val="24"/>
        </w:rPr>
        <w:t>甲方</w:t>
      </w:r>
      <w:r>
        <w:rPr>
          <w:sz w:val="24"/>
        </w:rPr>
        <w:t>提请项目验收，由</w:t>
      </w:r>
      <w:r>
        <w:rPr>
          <w:sz w:val="24"/>
        </w:rPr>
        <w:t>甲方</w:t>
      </w:r>
      <w:r>
        <w:rPr>
          <w:sz w:val="24"/>
        </w:rPr>
        <w:t>完成项目的验收工作；</w:t>
      </w:r>
    </w:p>
    <w:p>
      <w:pPr>
        <w:pStyle w:val="null3"/>
        <w:ind w:firstLine="480"/>
        <w:jc w:val="both"/>
      </w:pPr>
      <w:r>
        <w:rPr>
          <w:sz w:val="24"/>
        </w:rPr>
        <w:t>2、按采购文件要求，完成项目实施范围内的疑似非耕地图斑的提取、地类认定、历史地类朔源等相关工作；</w:t>
      </w:r>
    </w:p>
    <w:p>
      <w:pPr>
        <w:pStyle w:val="null3"/>
        <w:ind w:firstLine="480"/>
        <w:jc w:val="both"/>
      </w:pPr>
      <w:r>
        <w:rPr>
          <w:sz w:val="24"/>
        </w:rPr>
        <w:t>3、验收依据文件：（1）项目合同；（2）有关国家、部委、省、市级政策文件；（3）相关国家、行业技术标准；（4）本项目技术设计书；</w:t>
      </w:r>
    </w:p>
    <w:p>
      <w:pPr>
        <w:pStyle w:val="null3"/>
        <w:ind w:firstLine="480"/>
        <w:jc w:val="both"/>
      </w:pPr>
      <w:r>
        <w:rPr>
          <w:sz w:val="24"/>
        </w:rPr>
        <w:t>4、项目成果经</w:t>
      </w:r>
      <w:r>
        <w:rPr>
          <w:sz w:val="24"/>
        </w:rPr>
        <w:t>甲方</w:t>
      </w:r>
      <w:r>
        <w:rPr>
          <w:sz w:val="24"/>
        </w:rPr>
        <w:t>确认即视为验收通过。</w:t>
      </w:r>
    </w:p>
    <w:p>
      <w:pPr>
        <w:pStyle w:val="null3"/>
        <w:spacing w:before="45" w:after="45"/>
        <w:jc w:val="both"/>
      </w:pPr>
      <w:r>
        <w:rPr>
          <w:sz w:val="24"/>
          <w:b/>
        </w:rPr>
        <w:t>十</w:t>
      </w:r>
      <w:r>
        <w:rPr>
          <w:sz w:val="24"/>
          <w:b/>
        </w:rPr>
        <w:t>五</w:t>
      </w:r>
      <w:r>
        <w:rPr>
          <w:sz w:val="24"/>
          <w:b/>
        </w:rPr>
        <w:t>、售后服务</w:t>
      </w:r>
    </w:p>
    <w:p>
      <w:pPr>
        <w:pStyle w:val="null3"/>
        <w:spacing w:before="45" w:after="45"/>
        <w:ind w:firstLine="480"/>
        <w:jc w:val="both"/>
      </w:pPr>
      <w:r>
        <w:rPr>
          <w:sz w:val="24"/>
        </w:rPr>
        <w:t>1、投诉跟踪服务要求，</w:t>
      </w:r>
      <w:r>
        <w:rPr>
          <w:sz w:val="24"/>
        </w:rPr>
        <w:t>乙方</w:t>
      </w:r>
      <w:r>
        <w:rPr>
          <w:sz w:val="24"/>
        </w:rPr>
        <w:t>需要提供常设的投诉热线服务，并对投诉内容进行及时跟踪、回访。对</w:t>
      </w:r>
      <w:r>
        <w:rPr>
          <w:sz w:val="24"/>
        </w:rPr>
        <w:t>甲方</w:t>
      </w:r>
      <w:r>
        <w:rPr>
          <w:sz w:val="24"/>
        </w:rPr>
        <w:t>的投诉通知，需要在</w:t>
      </w:r>
      <w:r>
        <w:rPr>
          <w:sz w:val="24"/>
        </w:rPr>
        <w:t>甲方</w:t>
      </w:r>
      <w:r>
        <w:rPr>
          <w:sz w:val="24"/>
        </w:rPr>
        <w:t>指定的时间内处理完毕，若突发事件不能在短时间内解决，</w:t>
      </w:r>
      <w:r>
        <w:rPr>
          <w:sz w:val="24"/>
        </w:rPr>
        <w:t>乙方</w:t>
      </w:r>
      <w:r>
        <w:rPr>
          <w:sz w:val="24"/>
        </w:rPr>
        <w:t>必须按</w:t>
      </w:r>
      <w:r>
        <w:rPr>
          <w:sz w:val="24"/>
        </w:rPr>
        <w:t>甲方</w:t>
      </w:r>
      <w:r>
        <w:rPr>
          <w:sz w:val="24"/>
        </w:rPr>
        <w:t>相关新的管理方案或规定严格执行。成果经</w:t>
      </w:r>
      <w:r>
        <w:rPr>
          <w:sz w:val="24"/>
        </w:rPr>
        <w:t>甲方</w:t>
      </w:r>
      <w:r>
        <w:rPr>
          <w:sz w:val="24"/>
        </w:rPr>
        <w:t>确认后，如果发现存在质量问题，供应商接到</w:t>
      </w:r>
      <w:r>
        <w:rPr>
          <w:sz w:val="24"/>
        </w:rPr>
        <w:t>甲方</w:t>
      </w:r>
      <w:r>
        <w:rPr>
          <w:sz w:val="24"/>
        </w:rPr>
        <w:t>通知后</w:t>
      </w:r>
      <w:r>
        <w:rPr>
          <w:sz w:val="21"/>
          <w:u w:val="single"/>
        </w:rPr>
        <w:t xml:space="preserve">    </w:t>
      </w:r>
      <w:r>
        <w:rPr>
          <w:sz w:val="24"/>
        </w:rPr>
        <w:t>日内到现场解决问题；</w:t>
      </w:r>
    </w:p>
    <w:p>
      <w:pPr>
        <w:pStyle w:val="null3"/>
        <w:spacing w:before="45" w:after="45"/>
        <w:ind w:firstLine="480"/>
        <w:jc w:val="both"/>
      </w:pPr>
      <w:r>
        <w:rPr>
          <w:sz w:val="24"/>
        </w:rPr>
        <w:t>2、项目验收通过后服务期限</w:t>
      </w:r>
      <w:r>
        <w:rPr>
          <w:sz w:val="21"/>
          <w:u w:val="single"/>
        </w:rPr>
        <w:t xml:space="preserve">    </w:t>
      </w:r>
      <w:r>
        <w:rPr>
          <w:sz w:val="24"/>
        </w:rPr>
        <w:t>个月；</w:t>
      </w:r>
    </w:p>
    <w:p>
      <w:pPr>
        <w:pStyle w:val="null3"/>
        <w:spacing w:before="45" w:after="45"/>
        <w:ind w:firstLine="480"/>
        <w:jc w:val="both"/>
      </w:pPr>
      <w:r>
        <w:rPr>
          <w:sz w:val="24"/>
        </w:rPr>
        <w:t>3、售后服务需配套专业技术人员不少于</w:t>
      </w:r>
      <w:r>
        <w:rPr>
          <w:sz w:val="21"/>
          <w:u w:val="single"/>
        </w:rPr>
        <w:t xml:space="preserve">    </w:t>
      </w:r>
      <w:r>
        <w:rPr>
          <w:sz w:val="24"/>
        </w:rPr>
        <w:t>人，提供的售后服务响应时间不超过</w:t>
      </w:r>
      <w:r>
        <w:rPr>
          <w:sz w:val="24"/>
        </w:rPr>
        <w:t>30分钟，需提供的到场服务响应时间不超过</w:t>
      </w:r>
      <w:r>
        <w:rPr>
          <w:sz w:val="21"/>
          <w:u w:val="single"/>
        </w:rPr>
        <w:t xml:space="preserve">    </w:t>
      </w:r>
      <w:r>
        <w:rPr>
          <w:sz w:val="24"/>
        </w:rPr>
        <w:t>小时。</w:t>
      </w:r>
    </w:p>
    <w:p>
      <w:pPr>
        <w:pStyle w:val="null3"/>
        <w:spacing w:before="45" w:after="45"/>
        <w:ind w:firstLine="480"/>
        <w:jc w:val="both"/>
      </w:pPr>
      <w:r>
        <w:rPr>
          <w:sz w:val="24"/>
        </w:rPr>
        <w:t>4、项目出现问题后</w:t>
      </w:r>
      <w:r>
        <w:rPr>
          <w:sz w:val="24"/>
        </w:rPr>
        <w:t>乙方</w:t>
      </w:r>
      <w:r>
        <w:rPr>
          <w:sz w:val="24"/>
        </w:rPr>
        <w:t>应立即向</w:t>
      </w:r>
      <w:r>
        <w:rPr>
          <w:sz w:val="24"/>
        </w:rPr>
        <w:t>甲方</w:t>
      </w:r>
      <w:r>
        <w:rPr>
          <w:sz w:val="24"/>
        </w:rPr>
        <w:t>提出解决方案。</w:t>
      </w:r>
    </w:p>
    <w:p>
      <w:pPr>
        <w:pStyle w:val="null3"/>
        <w:spacing w:before="45" w:after="45"/>
        <w:jc w:val="both"/>
      </w:pPr>
      <w:r>
        <w:rPr>
          <w:sz w:val="24"/>
          <w:b/>
        </w:rPr>
        <w:t>十六、</w:t>
      </w:r>
      <w:r>
        <w:rPr>
          <w:sz w:val="24"/>
          <w:b/>
        </w:rPr>
        <w:t>付款方式</w:t>
      </w:r>
    </w:p>
    <w:p>
      <w:pPr>
        <w:pStyle w:val="null3"/>
        <w:ind w:firstLine="480"/>
        <w:jc w:val="both"/>
      </w:pPr>
      <w:r>
        <w:rPr>
          <w:sz w:val="24"/>
        </w:rPr>
        <w:t>1期：</w:t>
      </w:r>
      <w:r>
        <w:rPr>
          <w:sz w:val="24"/>
        </w:rPr>
        <w:t>支付</w:t>
      </w:r>
      <w:r>
        <w:rPr>
          <w:sz w:val="24"/>
        </w:rPr>
        <w:t>30%，合同</w:t>
      </w:r>
      <w:r>
        <w:rPr>
          <w:sz w:val="24"/>
        </w:rPr>
        <w:t>签订后</w:t>
      </w:r>
      <w:r>
        <w:rPr>
          <w:sz w:val="24"/>
        </w:rPr>
        <w:t>5个工作日内支付</w:t>
      </w:r>
      <w:r>
        <w:rPr>
          <w:sz w:val="24"/>
        </w:rPr>
        <w:t>至</w:t>
      </w:r>
      <w:r>
        <w:rPr>
          <w:sz w:val="24"/>
        </w:rPr>
        <w:t>合同金额</w:t>
      </w:r>
      <w:r>
        <w:rPr>
          <w:sz w:val="24"/>
        </w:rPr>
        <w:t>的</w:t>
      </w:r>
      <w:r>
        <w:rPr>
          <w:sz w:val="24"/>
        </w:rPr>
        <w:t>30%。</w:t>
      </w:r>
    </w:p>
    <w:p>
      <w:pPr>
        <w:pStyle w:val="null3"/>
        <w:ind w:firstLine="480"/>
        <w:jc w:val="both"/>
      </w:pPr>
      <w:r>
        <w:rPr>
          <w:sz w:val="24"/>
        </w:rPr>
        <w:t>2期：</w:t>
      </w:r>
      <w:r>
        <w:rPr>
          <w:sz w:val="24"/>
        </w:rPr>
        <w:t>支付</w:t>
      </w:r>
      <w:r>
        <w:rPr>
          <w:sz w:val="24"/>
        </w:rPr>
        <w:t>50%，完成</w:t>
      </w:r>
      <w:r>
        <w:rPr>
          <w:sz w:val="24"/>
        </w:rPr>
        <w:t>摸查</w:t>
      </w:r>
      <w:r>
        <w:rPr>
          <w:sz w:val="24"/>
        </w:rPr>
        <w:t>有关工作，支付</w:t>
      </w:r>
      <w:r>
        <w:rPr>
          <w:sz w:val="24"/>
        </w:rPr>
        <w:t>至</w:t>
      </w:r>
      <w:r>
        <w:rPr>
          <w:sz w:val="24"/>
        </w:rPr>
        <w:t>合同金额</w:t>
      </w:r>
      <w:r>
        <w:rPr>
          <w:sz w:val="24"/>
        </w:rPr>
        <w:t>的</w:t>
      </w:r>
      <w:r>
        <w:rPr>
          <w:sz w:val="24"/>
        </w:rPr>
        <w:t>50%。</w:t>
      </w:r>
    </w:p>
    <w:p>
      <w:pPr>
        <w:pStyle w:val="null3"/>
        <w:ind w:firstLine="480"/>
        <w:jc w:val="both"/>
      </w:pPr>
      <w:r>
        <w:rPr>
          <w:sz w:val="24"/>
        </w:rPr>
        <w:t>3期：</w:t>
      </w:r>
      <w:r>
        <w:rPr>
          <w:sz w:val="24"/>
        </w:rPr>
        <w:t>支付</w:t>
      </w:r>
      <w:r>
        <w:rPr>
          <w:sz w:val="24"/>
        </w:rPr>
        <w:t>20%，完成</w:t>
      </w:r>
      <w:r>
        <w:rPr>
          <w:sz w:val="24"/>
        </w:rPr>
        <w:t>全部</w:t>
      </w:r>
      <w:r>
        <w:rPr>
          <w:sz w:val="24"/>
        </w:rPr>
        <w:t>工作后</w:t>
      </w:r>
      <w:r>
        <w:rPr>
          <w:sz w:val="24"/>
        </w:rPr>
        <w:t>15日内支付</w:t>
      </w:r>
      <w:r>
        <w:rPr>
          <w:sz w:val="24"/>
        </w:rPr>
        <w:t>至</w:t>
      </w:r>
      <w:r>
        <w:rPr>
          <w:sz w:val="24"/>
        </w:rPr>
        <w:t>合同金额</w:t>
      </w:r>
      <w:r>
        <w:rPr>
          <w:sz w:val="24"/>
        </w:rPr>
        <w:t>的</w:t>
      </w:r>
      <w:r>
        <w:rPr>
          <w:sz w:val="24"/>
        </w:rPr>
        <w:t>20%。</w:t>
      </w:r>
    </w:p>
    <w:p>
      <w:pPr>
        <w:pStyle w:val="null3"/>
        <w:ind w:firstLine="480"/>
        <w:jc w:val="both"/>
      </w:pPr>
      <w:r>
        <w:rPr>
          <w:sz w:val="24"/>
        </w:rPr>
        <w:t>注：（</w:t>
      </w:r>
      <w:r>
        <w:rPr>
          <w:sz w:val="24"/>
        </w:rPr>
        <w:t>1）</w:t>
      </w:r>
      <w:r>
        <w:rPr>
          <w:sz w:val="24"/>
        </w:rPr>
        <w:t>乙方</w:t>
      </w:r>
      <w:r>
        <w:rPr>
          <w:sz w:val="24"/>
        </w:rPr>
        <w:t>凭以下有效文件与</w:t>
      </w:r>
      <w:r>
        <w:rPr>
          <w:sz w:val="24"/>
        </w:rPr>
        <w:t>甲方</w:t>
      </w:r>
      <w:r>
        <w:rPr>
          <w:sz w:val="24"/>
        </w:rPr>
        <w:t>结算：</w:t>
      </w:r>
      <w:r>
        <w:rPr>
          <w:sz w:val="24"/>
        </w:rPr>
        <w:t>①</w:t>
      </w:r>
      <w:r>
        <w:rPr>
          <w:sz w:val="24"/>
        </w:rPr>
        <w:t>合同；</w:t>
      </w:r>
      <w:r>
        <w:rPr>
          <w:sz w:val="24"/>
        </w:rPr>
        <w:t>②</w:t>
      </w:r>
      <w:r>
        <w:rPr>
          <w:sz w:val="24"/>
        </w:rPr>
        <w:t>乙方</w:t>
      </w:r>
      <w:r>
        <w:rPr>
          <w:sz w:val="24"/>
        </w:rPr>
        <w:t>开具的正式发票；</w:t>
      </w:r>
      <w:r>
        <w:rPr>
          <w:sz w:val="24"/>
        </w:rPr>
        <w:t>③成交通知书；</w:t>
      </w:r>
    </w:p>
    <w:p>
      <w:pPr>
        <w:pStyle w:val="null3"/>
        <w:ind w:firstLine="480"/>
        <w:jc w:val="both"/>
      </w:pPr>
      <w:r>
        <w:rPr>
          <w:sz w:val="24"/>
        </w:rPr>
        <w:t>（</w:t>
      </w:r>
      <w:r>
        <w:rPr>
          <w:sz w:val="24"/>
        </w:rPr>
        <w:t>2）收款方、出具发票方、合同乙方均必须与</w:t>
      </w:r>
      <w:r>
        <w:rPr>
          <w:sz w:val="24"/>
        </w:rPr>
        <w:t>乙方</w:t>
      </w:r>
      <w:r>
        <w:rPr>
          <w:sz w:val="24"/>
        </w:rPr>
        <w:t>名称一致。</w:t>
      </w:r>
    </w:p>
    <w:p>
      <w:pPr>
        <w:pStyle w:val="null3"/>
        <w:ind w:firstLine="480"/>
        <w:jc w:val="both"/>
      </w:pPr>
      <w:r>
        <w:rPr>
          <w:sz w:val="24"/>
        </w:rPr>
        <w:t>（</w:t>
      </w:r>
      <w:r>
        <w:rPr>
          <w:sz w:val="24"/>
        </w:rPr>
        <w:t>3）</w:t>
      </w:r>
      <w:r>
        <w:rPr>
          <w:sz w:val="24"/>
        </w:rPr>
        <w:t>项目发生合同融资（指引详见《韶关市财政局</w:t>
      </w:r>
      <w:r>
        <w:rPr>
          <w:sz w:val="24"/>
        </w:rPr>
        <w:t>韶关市金融工作局</w:t>
      </w:r>
      <w:r>
        <w:rPr>
          <w:sz w:val="24"/>
        </w:rPr>
        <w:t>中国人民银行韶关市中心支行关于开展市级政府采购合同融资工作的通知》（韶财采购〔</w:t>
      </w:r>
      <w:r>
        <w:rPr>
          <w:sz w:val="24"/>
        </w:rPr>
        <w:t>2021〕2号）、《广东省财政厅 中共广东省委金融委员会办公室 中国人民银行广东省分行关于进一步推广政府采购金融服务助力中小企业发展的通知》（粤财采购〔2024〕10号）），甲方应当将合同款项支付到合同约定收款账户。</w:t>
      </w:r>
    </w:p>
    <w:p>
      <w:pPr>
        <w:pStyle w:val="null3"/>
        <w:spacing w:before="45" w:after="45"/>
        <w:jc w:val="both"/>
      </w:pPr>
      <w:r>
        <w:rPr>
          <w:sz w:val="24"/>
          <w:b/>
        </w:rPr>
        <w:t>十</w:t>
      </w:r>
      <w:r>
        <w:rPr>
          <w:sz w:val="24"/>
          <w:b/>
        </w:rPr>
        <w:t>七</w:t>
      </w:r>
      <w:r>
        <w:rPr>
          <w:sz w:val="24"/>
          <w:b/>
        </w:rPr>
        <w:t>、保密要求</w:t>
      </w:r>
    </w:p>
    <w:p>
      <w:pPr>
        <w:pStyle w:val="null3"/>
        <w:ind w:firstLine="480"/>
        <w:jc w:val="both"/>
      </w:pPr>
      <w:r>
        <w:rPr>
          <w:sz w:val="24"/>
        </w:rPr>
        <w:t>1、乙方对在工作过程中接触到的甲方的任何资料、文件、数据(无论是书面形式的还是电子版的)，以及对为甲方服务形成的任何交付物，负有保密的责任。未经甲方书面同意，乙方不得以任何方式向任何第三方提供或透露。</w:t>
      </w:r>
    </w:p>
    <w:p>
      <w:pPr>
        <w:pStyle w:val="null3"/>
        <w:ind w:firstLine="480"/>
        <w:jc w:val="both"/>
      </w:pPr>
      <w:r>
        <w:rPr>
          <w:sz w:val="24"/>
        </w:rPr>
        <w:t>2、乙方不得将涉密资料在计算机互联网、政务网等非涉密网络上传输、登载。</w:t>
      </w:r>
    </w:p>
    <w:p>
      <w:pPr>
        <w:pStyle w:val="null3"/>
        <w:ind w:firstLine="480"/>
        <w:jc w:val="both"/>
      </w:pPr>
      <w:r>
        <w:rPr>
          <w:sz w:val="24"/>
        </w:rPr>
        <w:t>3、乙方发生涉密资料外传、丢失、被盗或者造成泄密事故的，应采取有效措施，及时补救，并及时向甲方报告；否则所造成的后果均由乙方承担。</w:t>
      </w:r>
    </w:p>
    <w:p>
      <w:pPr>
        <w:pStyle w:val="null3"/>
        <w:spacing w:before="45" w:after="45"/>
        <w:jc w:val="both"/>
      </w:pPr>
      <w:r>
        <w:rPr>
          <w:sz w:val="24"/>
          <w:b/>
        </w:rPr>
        <w:t>十</w:t>
      </w:r>
      <w:r>
        <w:rPr>
          <w:sz w:val="24"/>
          <w:b/>
        </w:rPr>
        <w:t>八</w:t>
      </w:r>
      <w:r>
        <w:rPr>
          <w:sz w:val="24"/>
          <w:b/>
        </w:rPr>
        <w:t>、违约责任及损失赔偿</w:t>
      </w:r>
    </w:p>
    <w:p>
      <w:pPr>
        <w:pStyle w:val="null3"/>
        <w:ind w:firstLine="480"/>
        <w:jc w:val="both"/>
      </w:pPr>
      <w:r>
        <w:rPr>
          <w:sz w:val="24"/>
        </w:rPr>
        <w:t>1、乙方未能按本采购文件要求的时间提供服务的，从逾期之日起，每日按成交金额的3‰向甲方支付违约金；逾期半月以上的，甲方有权终止合同，由此对甲方造成的由乙方承担。</w:t>
      </w:r>
    </w:p>
    <w:p>
      <w:pPr>
        <w:pStyle w:val="null3"/>
        <w:ind w:firstLine="480"/>
        <w:jc w:val="both"/>
      </w:pPr>
      <w:r>
        <w:rPr>
          <w:sz w:val="24"/>
        </w:rPr>
        <w:t>2、甲方无正当理由拒绝接受服务的，甲方向乙方赔付成交金额的5%作为违约金；甲方到期拒付合同款项的，则每日按逾期金额的3‰向乙方支付违约金。</w:t>
      </w:r>
    </w:p>
    <w:p>
      <w:pPr>
        <w:pStyle w:val="null3"/>
        <w:ind w:firstLine="480"/>
        <w:jc w:val="both"/>
      </w:pPr>
      <w:r>
        <w:rPr>
          <w:sz w:val="24"/>
        </w:rPr>
        <w:t>3、乙方在进行本项目的服务期过程中，应严格恪守保密原则，如发现商业泄密，甲方将扣除乙方成交金额的5%作为违约金，同时追究其法律责任。</w:t>
      </w:r>
    </w:p>
    <w:p>
      <w:pPr>
        <w:pStyle w:val="null3"/>
        <w:spacing w:before="45" w:after="45"/>
        <w:jc w:val="both"/>
      </w:pPr>
      <w:r>
        <w:rPr>
          <w:sz w:val="24"/>
          <w:b/>
        </w:rPr>
        <w:t>十</w:t>
      </w:r>
      <w:r>
        <w:rPr>
          <w:sz w:val="24"/>
          <w:b/>
        </w:rPr>
        <w:t>九</w:t>
      </w:r>
      <w:r>
        <w:rPr>
          <w:sz w:val="24"/>
          <w:b/>
        </w:rPr>
        <w:t>、争议的解决</w:t>
      </w:r>
    </w:p>
    <w:p>
      <w:pPr>
        <w:pStyle w:val="null3"/>
        <w:ind w:left="210" w:firstLine="480"/>
        <w:jc w:val="both"/>
      </w:pPr>
      <w:r>
        <w:rPr>
          <w:sz w:val="24"/>
        </w:rPr>
        <w:t>合同执行过程中发生的任何争议，如双方不能通过友好协商解决，均同意提交给甲方所在地人民法院诉讼。</w:t>
      </w:r>
    </w:p>
    <w:p>
      <w:pPr>
        <w:pStyle w:val="null3"/>
        <w:spacing w:before="45" w:after="45"/>
        <w:jc w:val="both"/>
      </w:pPr>
      <w:r>
        <w:rPr>
          <w:sz w:val="24"/>
          <w:b/>
        </w:rPr>
        <w:t>二十</w:t>
      </w:r>
      <w:r>
        <w:rPr>
          <w:sz w:val="24"/>
          <w:b/>
        </w:rPr>
        <w:t>、不可抗力</w:t>
      </w:r>
    </w:p>
    <w:p>
      <w:pPr>
        <w:pStyle w:val="null3"/>
        <w:ind w:left="210" w:firstLine="480"/>
        <w:jc w:val="both"/>
      </w:pPr>
      <w:r>
        <w:rPr>
          <w:sz w:val="24"/>
        </w:rPr>
        <w:t>任何</w:t>
      </w:r>
      <w:r>
        <w:rPr>
          <w:sz w:val="24"/>
        </w:rPr>
        <w:t>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spacing w:before="45" w:after="45"/>
        <w:jc w:val="both"/>
      </w:pPr>
      <w:r>
        <w:rPr>
          <w:sz w:val="24"/>
          <w:b/>
        </w:rPr>
        <w:t>二十一</w:t>
      </w:r>
      <w:r>
        <w:rPr>
          <w:sz w:val="24"/>
          <w:b/>
        </w:rPr>
        <w:t>、税费</w:t>
      </w:r>
    </w:p>
    <w:p>
      <w:pPr>
        <w:pStyle w:val="null3"/>
        <w:ind w:firstLine="420"/>
        <w:jc w:val="both"/>
      </w:pPr>
      <w:r>
        <w:rPr>
          <w:sz w:val="24"/>
        </w:rPr>
        <w:t>在中国境内、外发生的与本合同执行有关的一切税费均由乙方负担。</w:t>
      </w:r>
    </w:p>
    <w:p>
      <w:pPr>
        <w:pStyle w:val="null3"/>
        <w:spacing w:before="45" w:after="45"/>
        <w:jc w:val="both"/>
      </w:pPr>
      <w:r>
        <w:rPr>
          <w:sz w:val="24"/>
          <w:b/>
        </w:rPr>
        <w:t>二十</w:t>
      </w:r>
      <w:r>
        <w:rPr>
          <w:sz w:val="24"/>
          <w:b/>
        </w:rPr>
        <w:t>二</w:t>
      </w:r>
      <w:r>
        <w:rPr>
          <w:sz w:val="24"/>
          <w:b/>
        </w:rPr>
        <w:t>、其它</w:t>
      </w:r>
    </w:p>
    <w:p>
      <w:pPr>
        <w:pStyle w:val="null3"/>
        <w:ind w:firstLine="480"/>
        <w:jc w:val="both"/>
      </w:pPr>
      <w:r>
        <w:rPr>
          <w:sz w:val="24"/>
        </w:rPr>
        <w:t>1、本合同所有附件、</w:t>
      </w:r>
      <w:r>
        <w:rPr>
          <w:sz w:val="24"/>
        </w:rPr>
        <w:t>采购文件</w:t>
      </w:r>
      <w:r>
        <w:rPr>
          <w:sz w:val="24"/>
        </w:rPr>
        <w:t>、</w:t>
      </w:r>
      <w:r>
        <w:rPr>
          <w:sz w:val="24"/>
        </w:rPr>
        <w:t>响应</w:t>
      </w:r>
      <w:r>
        <w:rPr>
          <w:sz w:val="24"/>
        </w:rPr>
        <w:t>文件、</w:t>
      </w:r>
      <w:r>
        <w:rPr>
          <w:sz w:val="24"/>
        </w:rPr>
        <w:t>成交</w:t>
      </w:r>
      <w:r>
        <w:rPr>
          <w:sz w:val="24"/>
        </w:rPr>
        <w:t>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spacing w:before="45" w:after="45"/>
        <w:jc w:val="both"/>
      </w:pPr>
      <w:r>
        <w:rPr>
          <w:sz w:val="24"/>
          <w:b/>
        </w:rPr>
        <w:t>二十</w:t>
      </w:r>
      <w:r>
        <w:rPr>
          <w:sz w:val="24"/>
          <w:b/>
        </w:rPr>
        <w:t>三</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份，均具有同等法律效力。</w:t>
      </w:r>
    </w:p>
    <w:p>
      <w:pPr>
        <w:pStyle w:val="null3"/>
        <w:jc w:val="both"/>
      </w:pPr>
      <w:r>
        <w:rPr>
          <w:sz w:val="21"/>
        </w:rPr>
        <w:t xml:space="preserve">  </w:t>
      </w:r>
    </w:p>
    <w:p>
      <w:pPr>
        <w:pStyle w:val="null3"/>
        <w:ind w:firstLine="480"/>
        <w:jc w:val="left"/>
      </w:pPr>
      <w:r>
        <w:rPr>
          <w:sz w:val="24"/>
        </w:rPr>
        <w:t>甲方（公章）：</w:t>
      </w:r>
      <w:r>
        <w:rPr>
          <w:sz w:val="24"/>
        </w:rPr>
        <w:t xml:space="preserve">                       </w:t>
      </w:r>
      <w:r>
        <w:rPr>
          <w:sz w:val="24"/>
        </w:rPr>
        <w:t>乙方</w:t>
      </w:r>
      <w:r>
        <w:rPr>
          <w:sz w:val="24"/>
        </w:rPr>
        <w:t>(公章)：</w:t>
      </w:r>
    </w:p>
    <w:p>
      <w:pPr>
        <w:pStyle w:val="null3"/>
        <w:ind w:firstLine="480"/>
        <w:jc w:val="left"/>
      </w:pPr>
      <w:r>
        <w:rPr>
          <w:sz w:val="24"/>
        </w:rPr>
        <w:t>签约人</w:t>
      </w:r>
      <w:r>
        <w:rPr>
          <w:sz w:val="24"/>
        </w:rPr>
        <w:t>(签字)：                       签约人(签字)：</w:t>
      </w:r>
    </w:p>
    <w:p>
      <w:pPr>
        <w:pStyle w:val="null3"/>
        <w:ind w:firstLine="480"/>
        <w:jc w:val="both"/>
      </w:pPr>
      <w:r>
        <w:rPr>
          <w:sz w:val="24"/>
        </w:rPr>
        <w:t>地址：</w:t>
      </w:r>
      <w:r>
        <w:rPr>
          <w:sz w:val="24"/>
        </w:rPr>
        <w:t xml:space="preserve">                              </w:t>
      </w:r>
      <w:r>
        <w:rPr>
          <w:sz w:val="24"/>
        </w:rPr>
        <w:t>地址：</w:t>
      </w:r>
      <w:r>
        <w:rPr>
          <w:sz w:val="24"/>
        </w:rPr>
        <w:t xml:space="preserve">                          </w:t>
      </w:r>
    </w:p>
    <w:p>
      <w:pPr>
        <w:pStyle w:val="null3"/>
        <w:ind w:firstLine="480"/>
        <w:jc w:val="both"/>
      </w:pPr>
      <w:r>
        <w:rPr>
          <w:sz w:val="24"/>
        </w:rPr>
        <w:t>联系人：</w:t>
      </w:r>
      <w:r>
        <w:rPr>
          <w:sz w:val="24"/>
        </w:rPr>
        <w:t xml:space="preserve">                            </w:t>
      </w:r>
      <w:r>
        <w:rPr>
          <w:sz w:val="24"/>
        </w:rPr>
        <w:t>联系人：</w:t>
      </w:r>
      <w:r>
        <w:rPr>
          <w:sz w:val="24"/>
        </w:rPr>
        <w:t xml:space="preserve">                        </w:t>
      </w:r>
    </w:p>
    <w:p>
      <w:pPr>
        <w:pStyle w:val="null3"/>
        <w:ind w:firstLine="480"/>
        <w:jc w:val="both"/>
      </w:pPr>
      <w:r>
        <w:rPr>
          <w:sz w:val="24"/>
        </w:rPr>
        <w:t>电话：</w:t>
      </w:r>
      <w:r>
        <w:rPr>
          <w:sz w:val="24"/>
        </w:rPr>
        <w:t xml:space="preserve">                              </w:t>
      </w:r>
      <w:r>
        <w:rPr>
          <w:sz w:val="24"/>
        </w:rPr>
        <w:t>电话：</w:t>
      </w:r>
      <w:r>
        <w:rPr>
          <w:sz w:val="24"/>
        </w:rPr>
        <w:t xml:space="preserve">                          </w:t>
      </w:r>
    </w:p>
    <w:p>
      <w:pPr>
        <w:pStyle w:val="null3"/>
        <w:ind w:firstLine="480"/>
        <w:jc w:val="both"/>
      </w:pPr>
      <w:r>
        <w:rPr>
          <w:sz w:val="24"/>
        </w:rPr>
        <w:t>传真：</w:t>
      </w:r>
      <w:r>
        <w:rPr>
          <w:sz w:val="24"/>
        </w:rPr>
        <w:t xml:space="preserve">                              </w:t>
      </w:r>
      <w:r>
        <w:rPr>
          <w:sz w:val="24"/>
        </w:rPr>
        <w:t>传真：</w:t>
      </w:r>
      <w:r>
        <w:rPr>
          <w:sz w:val="24"/>
        </w:rPr>
        <w:t xml:space="preserve">                          </w:t>
      </w:r>
    </w:p>
    <w:p>
      <w:pPr>
        <w:pStyle w:val="null3"/>
        <w:ind w:firstLine="480"/>
        <w:jc w:val="both"/>
      </w:pPr>
      <w:r>
        <w:rPr>
          <w:sz w:val="24"/>
        </w:rPr>
        <w:t>邮编：</w:t>
      </w:r>
      <w:r>
        <w:rPr>
          <w:sz w:val="24"/>
        </w:rPr>
        <w:t xml:space="preserve">                              </w:t>
      </w:r>
      <w:r>
        <w:rPr>
          <w:sz w:val="24"/>
        </w:rPr>
        <w:t>邮编：</w:t>
      </w:r>
      <w:r>
        <w:rPr>
          <w:sz w:val="24"/>
        </w:rPr>
        <w:t xml:space="preserve">                          </w:t>
      </w:r>
    </w:p>
    <w:p>
      <w:pPr>
        <w:pStyle w:val="null3"/>
        <w:ind w:firstLine="480"/>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440201-2024-02212</w:t>
      </w:r>
    </w:p>
    <w:p>
      <w:pPr>
        <w:pStyle w:val="null3"/>
        <w:jc w:val="center"/>
        <w:outlineLvl w:val="3"/>
      </w:pPr>
      <w:r>
        <w:rPr>
          <w:sz w:val="24"/>
          <w:b/>
        </w:rPr>
        <w:t>采购项目编号：</w:t>
      </w:r>
      <w:r>
        <w:rPr>
          <w:sz w:val="24"/>
          <w:b/>
        </w:rPr>
        <w:t>GDYD240492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w:t>
      </w:r>
    </w:p>
    <w:p>
      <w:pPr>
        <w:pStyle w:val="null3"/>
        <w:ind w:firstLine="480"/>
      </w:pPr>
      <w:r>
        <w:rPr/>
        <w:t xml:space="preserve"> 你方组织的</w:t>
      </w:r>
      <w:r>
        <w:rPr>
          <w:u w:val="single"/>
        </w:rPr>
        <w:t>“</w:t>
      </w:r>
      <w:r>
        <w:rPr>
          <w:u w:val="single"/>
        </w:rPr>
        <w:t>韶关市2024年度耕地保护风险排查项目</w:t>
      </w:r>
      <w:r>
        <w:rPr>
          <w:u w:val="single"/>
        </w:rPr>
        <w:t>”</w:t>
      </w:r>
      <w:r>
        <w:rPr/>
        <w:t>项目的竞争性磋商[采购项目编号为：</w:t>
      </w:r>
      <w:r>
        <w:rPr>
          <w:u w:val="single"/>
        </w:rPr>
        <w:t>GDYD240492</w:t>
      </w:r>
      <w:r>
        <w:rPr/>
        <w:t>]，我方愿参与响应。</w:t>
      </w:r>
    </w:p>
    <w:p>
      <w:pPr>
        <w:pStyle w:val="null3"/>
        <w:ind w:firstLine="480"/>
      </w:pPr>
      <w:r>
        <w:rPr/>
        <w:t>我方确认收到贵方提供的</w:t>
      </w:r>
      <w:r>
        <w:rPr>
          <w:u w:val="single"/>
        </w:rPr>
        <w:t>“</w:t>
      </w:r>
      <w:r>
        <w:rPr>
          <w:u w:val="single"/>
        </w:rPr>
        <w:t>韶关市2024年度耕地保护风险排查项目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韶关市2024年度耕地保护风险排查项目</w:t>
      </w:r>
      <w:r>
        <w:rPr/>
        <w:t>”项目采购[采购项目编号为</w:t>
      </w:r>
      <w:r>
        <w:rPr/>
        <w:t>GDYD240492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韶关市2024年度耕地保护风险排查项目</w:t>
      </w:r>
      <w:r>
        <w:rPr/>
        <w:t>（采购项目编号：</w:t>
      </w:r>
      <w:r>
        <w:rPr/>
        <w:t>GDYD240492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韶关市2024年度耕地保护风险排查项目</w:t>
      </w:r>
      <w:r>
        <w:rPr/>
        <w:t>”项目（采购项目编号：</w:t>
      </w:r>
      <w:r>
        <w:rPr/>
        <w:t>GDYD240492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