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bookmarkStart w:id="0" w:name="_GoBack"/>
      <w:r>
        <w:rPr>
          <w:rFonts w:hint="eastAsia" w:asciiTheme="minorEastAsia" w:hAnsiTheme="minorEastAsia" w:eastAsiaTheme="minorEastAsia" w:cstheme="minorEastAsia"/>
          <w:color w:val="auto"/>
        </w:rPr>
        <w:t>其他补充事宜</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本项目采用电子系统进行招投标，请在投标前详细阅读投标人操作手册，手册获取网址 ：https://gdgpo.czt.gd.gov.cn/help/transaction/gongyinshan.html。投标人在使用过程中遇到涉及系统使用的问题，可通过400-1832-999进行咨询或通过广东政府采购智慧云平台运维服务说明中提供的其他服务方式获取帮助。</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投标人参加本项目投标，需要提前办理CA和电子签章，办理方式和注意事项详见投标人操作手册与CA办理指南，指南获取地址：https://gdgpo.czt.gd.gov.cn/help/problem/。数字证书CA服务热线：400-887-6133。</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投标人应确认电子投标（响应）文件成功上传至广东省项目采购电子交易系统。如多次上传不成功的可咨询平台技术人员解决。</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采购文件有要求递交投标（响应）保证金的，开标时采购代理机构需对保证金到账情况进行核验，请投标人提前办理保证金有关事宜，以免因保证金问题影响投标。</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投标人可自行登录中小企业规模类型自测小程序网站（网址：http://202.106.120.146/baosong/appweb/orgScale.html），自测企业规模。</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因疫情防控期间，投标单位委派参加开标活动的投标人员，需关注中山市公共资源交易中心网站发布的疫情防控工作指引。</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远程开标注意事项 </w:t>
      </w:r>
    </w:p>
    <w:p>
      <w:pPr>
        <w:keepNext w:val="0"/>
        <w:keepLines w:val="0"/>
        <w:pageBreakBefore w:val="0"/>
        <w:widowControl w:val="0"/>
        <w:numPr>
          <w:ilvl w:val="1"/>
          <w:numId w:val="2"/>
        </w:numPr>
        <w:kinsoku/>
        <w:wordWrap/>
        <w:overflowPunct/>
        <w:topLinePunct w:val="0"/>
        <w:autoSpaceDE/>
        <w:autoSpaceDN/>
        <w:bidi w:val="0"/>
        <w:adjustRightInd/>
        <w:snapToGrid/>
        <w:spacing w:line="460" w:lineRule="exact"/>
        <w:ind w:left="567" w:leftChars="0" w:hanging="567"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请注意：本项目采用远程开标形式，投标人应登录广东省政府采购网（广东政府采购智慧云平台，网址： https://gdgpo.czt.gd.gov.cn/）对相关操作指南进行研读并熟悉系统的操作。咨询电话：400-183-2999。 </w:t>
      </w:r>
    </w:p>
    <w:p>
      <w:pPr>
        <w:keepNext w:val="0"/>
        <w:keepLines w:val="0"/>
        <w:pageBreakBefore w:val="0"/>
        <w:widowControl w:val="0"/>
        <w:numPr>
          <w:ilvl w:val="1"/>
          <w:numId w:val="2"/>
        </w:numPr>
        <w:kinsoku/>
        <w:wordWrap/>
        <w:overflowPunct/>
        <w:topLinePunct w:val="0"/>
        <w:autoSpaceDE/>
        <w:autoSpaceDN/>
        <w:bidi w:val="0"/>
        <w:adjustRightInd/>
        <w:snapToGrid/>
        <w:spacing w:line="460" w:lineRule="exact"/>
        <w:ind w:left="567" w:leftChars="0" w:hanging="567"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关于提前进入开标大厅的提醒：参加本项目投标的投标人，请务必于投标截止时间前30分钟登录广东省政府采购智慧云平台，并进入本项目“开标大厅”。无法进入“开标大厅”的应该及时联系平台技术人员解决。</w:t>
      </w:r>
    </w:p>
    <w:p>
      <w:pPr>
        <w:keepNext w:val="0"/>
        <w:keepLines w:val="0"/>
        <w:pageBreakBefore w:val="0"/>
        <w:widowControl w:val="0"/>
        <w:numPr>
          <w:ilvl w:val="1"/>
          <w:numId w:val="2"/>
        </w:numPr>
        <w:kinsoku/>
        <w:wordWrap/>
        <w:overflowPunct/>
        <w:topLinePunct w:val="0"/>
        <w:autoSpaceDE/>
        <w:autoSpaceDN/>
        <w:bidi w:val="0"/>
        <w:adjustRightInd/>
        <w:snapToGrid/>
        <w:spacing w:line="460" w:lineRule="exact"/>
        <w:ind w:left="567" w:leftChars="0" w:hanging="567"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关于开标专用电脑的选取：投标人应尽量使用本项目投标文件成功加密所使用的电脑，避免开标时由于解密失败所带来的影响。</w:t>
      </w:r>
    </w:p>
    <w:p>
      <w:pPr>
        <w:keepNext w:val="0"/>
        <w:keepLines w:val="0"/>
        <w:pageBreakBefore w:val="0"/>
        <w:widowControl w:val="0"/>
        <w:numPr>
          <w:ilvl w:val="1"/>
          <w:numId w:val="2"/>
        </w:numPr>
        <w:kinsoku/>
        <w:wordWrap/>
        <w:overflowPunct/>
        <w:topLinePunct w:val="0"/>
        <w:autoSpaceDE/>
        <w:autoSpaceDN/>
        <w:bidi w:val="0"/>
        <w:adjustRightInd/>
        <w:snapToGrid/>
        <w:spacing w:line="460" w:lineRule="exact"/>
        <w:ind w:left="567" w:leftChars="0" w:hanging="567" w:firstLineChars="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关于参与开标资料准备提醒：投标人进入本项目“开标大厅”（参加投标）时，应提前准备有效的数字证书，以及投标文件加密时生成的备用标书。有效的数字证书将用于开标时解密及签名环节，备用标书用于开标时解密失败的情况下可以补充上传。若投标人未及时准备上述资料，由此造成的后果由投标人承担。</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二、中山市政府采购支持中小微企业质押融资的说明，根据《关于印发〈中山市政府采购支持中小微企业质押融资的实施意见〉的通知》规定：</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1）中国农业发展银行中山市分行客户业务部 邹可仕 18802598981 信贷与风险管理部 陈小龙 15889891688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2）中国工商银行中山分行 普惠金融事业部 陈炳菁 18928108782 普惠金融事业部杨培鹏 15900085352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3）中国农业银行中山分行 普惠金融事业部 赖思韵 22644682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4）广发银行中山分行 普惠金融部 林光宇 88862643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5）中国邮政储蓄银行中山市分行 小企业金融部 黄嘉霖 13824720741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6）中山农村商业银行 总行公司业务部 杜保森 88884181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7）平安银行中山分行普惠金融部 林晓冰 13823931817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8）兴业银行中山分行 企业金融部 刘中芳 0760-88368666-203172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9）招商银行中山分行 公司金融事业部 唐庆颖 13924998608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10）中国光大银行中山分行 公司业务管理部 张梓颖 0760-888 58067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11）广州银行中山分行 公司金融部 杨顺龙 88776919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12）中信银行中山分行 普惠金融部 陈廷忠 15113386853 普惠金融部 余超贤 15918291829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13）渤海银行中山分行 公司金融部 李建夏 13631124024、0760-87911816 分行营业部 徐艺 13928142042、0760-87911808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14）华夏银行中山分行 营销 管理部 叶怡 28137855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15） 东莞银行中山分行 业务部 赵荣耀 13042854636/86939959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16）东亚银行（中国）有限公司中山支行 中山支行 王涛 89986282/18926998881 </w:t>
      </w:r>
    </w:p>
    <w:p>
      <w:pPr>
        <w:keepNext w:val="0"/>
        <w:keepLines w:val="0"/>
        <w:pageBreakBefore w:val="0"/>
        <w:widowControl w:val="0"/>
        <w:kinsoku/>
        <w:wordWrap/>
        <w:overflowPunct/>
        <w:topLinePunct w:val="0"/>
        <w:autoSpaceDE/>
        <w:autoSpaceDN/>
        <w:bidi w:val="0"/>
        <w:adjustRightInd/>
        <w:snapToGrid/>
        <w:spacing w:line="460" w:lineRule="exact"/>
        <w:ind w:leftChars="1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17）浦发银行中山分行交易银行 部付涛 0760-89982303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2.中小微企业有融资需求的，可通过应收账款融资服务平台（网址：www.crcrfsp.com）和中山市社会征信和金融服务一体化系统（网址：</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"http://www.zsythxt.zs.gov.cn）向辖内特定或非特定银行机构咨询并提出融资申请。"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www.zsythxt.zs.gov.cn）向辖内特定或非特定银行机构咨询并提出融资申请。</w:t>
      </w:r>
      <w:r>
        <w:rPr>
          <w:rFonts w:hint="eastAsia" w:asciiTheme="minorEastAsia" w:hAnsiTheme="minorEastAsia" w:eastAsiaTheme="minorEastAsia" w:cstheme="minorEastAsia"/>
          <w:color w:val="auto"/>
        </w:rPr>
        <w:fldChar w:fldCharType="end"/>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3.采购人应当及时在应收账款融资服务平台（网址：</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"http://www.crcrfsp.com）确认债权债务关系，支持中小微企业融资。"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www.crcrfsp.com）确认债权债务关系，支持中小微企业融资。</w:t>
      </w:r>
      <w:r>
        <w:rPr>
          <w:rFonts w:hint="eastAsia" w:asciiTheme="minorEastAsia" w:hAnsiTheme="minorEastAsia" w:eastAsiaTheme="minorEastAsia" w:cstheme="minorEastAsia"/>
          <w:color w:val="auto"/>
        </w:rPr>
        <w:fldChar w:fldCharType="end"/>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5.财政部门根据《政府采购法》等相关法规、规章规定，对参加政府采购活动的投标人的不良行为予以记录，并纳入中山市社会征信和金融服务一体化系统，供银行机构融资授信时审慎性参考。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三、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关于运用政府采购政策支持脱贫攻坚的通知》（财库〔2019〕27号）</w:t>
      </w:r>
    </w:p>
    <w:bookmarkEnd w:id="0"/>
    <w:p>
      <w:pPr>
        <w:rPr>
          <w:color w:val="auto"/>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7FC31"/>
    <w:multiLevelType w:val="multilevel"/>
    <w:tmpl w:val="1F47FC31"/>
    <w:lvl w:ilvl="0" w:tentative="0">
      <w:start w:val="7"/>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E05CE1B"/>
    <w:multiLevelType w:val="singleLevel"/>
    <w:tmpl w:val="2E05CE1B"/>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MDU5NGY1MDNhZmZlZTU5YWNhMGNhODMxNjhhZjAifQ=="/>
  </w:docVars>
  <w:rsids>
    <w:rsidRoot w:val="5F310F27"/>
    <w:rsid w:val="152A729A"/>
    <w:rsid w:val="20997BD2"/>
    <w:rsid w:val="3B7C33F0"/>
    <w:rsid w:val="5D552581"/>
    <w:rsid w:val="5F310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qFormat/>
    <w:uiPriority w:val="1"/>
    <w:pPr>
      <w:spacing w:before="62"/>
      <w:ind w:left="100"/>
      <w:outlineLvl w:val="3"/>
    </w:pPr>
    <w:rPr>
      <w:b/>
      <w:bCs/>
      <w:sz w:val="2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rPr>
      <w:sz w:val="19"/>
      <w:szCs w:val="19"/>
    </w:rPr>
  </w:style>
  <w:style w:type="paragraph" w:styleId="3">
    <w:name w:val="toc 5"/>
    <w:basedOn w:val="1"/>
    <w:next w:val="1"/>
    <w:semiHidden/>
    <w:qFormat/>
    <w:uiPriority w:val="0"/>
    <w:pPr>
      <w:ind w:left="840"/>
    </w:pPr>
    <w:rPr>
      <w:rFonts w:ascii="Calibri" w:hAnsi="Calibri" w:cs="Calibri"/>
      <w:sz w:val="18"/>
      <w:szCs w:val="18"/>
    </w:rPr>
  </w:style>
  <w:style w:type="paragraph" w:styleId="5">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1723</Words>
  <Characters>2247</Characters>
  <Lines>0</Lines>
  <Paragraphs>0</Paragraphs>
  <TotalTime>16</TotalTime>
  <ScaleCrop>false</ScaleCrop>
  <LinksUpToDate>false</LinksUpToDate>
  <CharactersWithSpaces>2330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2022-02-23T02:57:00Z</dcterms:created>
  <dc:creator>慧怡</dc:creator>
  <cp:lastModifiedBy>Tsanghuiyi</cp:lastModifiedBy>
  <dcterms:modified xsi:type="dcterms:W3CDTF">2022-05-26T02:13:20Z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93E5081803EB49B28A6ACD9F5DA60C14</vt:lpwstr>
  </property>
</Properties>
</file>